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301401</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timing adjustment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9.13.4.3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to study the air-to-ground for NR. The objective of this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Cs/>
                <w:lang w:eastAsia="zh-CN"/>
              </w:rPr>
            </w:pPr>
            <w:r>
              <w:rPr>
                <w:rFonts w:hint="eastAsia"/>
                <w:bCs/>
                <w:lang w:eastAsia="zh-CN"/>
              </w:rPr>
              <w:t>T</w:t>
            </w:r>
            <w:r>
              <w:rPr>
                <w:bCs/>
                <w:lang w:eastAsia="zh-CN"/>
              </w:rPr>
              <w:t>he core part of this work item includes</w:t>
            </w:r>
          </w:p>
          <w:p>
            <w:pPr>
              <w:widowControl w:val="0"/>
              <w:numPr>
                <w:ilvl w:val="0"/>
                <w:numId w:val="4"/>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4"/>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4"/>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RRM core requirements for ATG UE</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4"/>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2"/>
                <w:sz w:val="20"/>
                <w:szCs w:val="24"/>
                <w:lang w:val="en-US" w:eastAsia="zh-CN" w:bidi="ar-SA"/>
              </w:rPr>
              <w:t>Specify new UE/BS type(s) for ATG network if necessary</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were achieved in [2] around timing and frequency adjustment: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trPr>
        <w:tc>
          <w:tcPr>
            <w:tcW w:w="9514" w:type="dxa"/>
          </w:tcPr>
          <w:p>
            <w:pPr>
              <w:pStyle w:val="4"/>
              <w:keepNext w:val="0"/>
              <w:keepLines w:val="0"/>
              <w:pageBreakBefore w:val="0"/>
              <w:tabs>
                <w:tab w:val="left" w:pos="226"/>
                <w:tab w:val="left" w:pos="284"/>
                <w:tab w:val="left" w:pos="5103"/>
              </w:tabs>
              <w:kinsoku/>
              <w:wordWrap/>
              <w:overflowPunct/>
              <w:topLinePunct w:val="0"/>
              <w:autoSpaceDE/>
              <w:autoSpaceDN/>
              <w:bidi w:val="0"/>
              <w:adjustRightInd/>
              <w:snapToGrid w:val="0"/>
              <w:spacing w:after="0"/>
              <w:textAlignment w:val="auto"/>
              <w:rPr>
                <w:rFonts w:hint="eastAsia"/>
                <w:b/>
                <w:bCs/>
                <w:sz w:val="22"/>
                <w:szCs w:val="22"/>
                <w:u w:val="none"/>
                <w:lang w:val="en-US" w:eastAsia="zh-CN"/>
              </w:rPr>
            </w:pPr>
            <w:r>
              <w:rPr>
                <w:rFonts w:hint="eastAsia"/>
                <w:b/>
                <w:bCs/>
                <w:sz w:val="22"/>
                <w:szCs w:val="22"/>
                <w:u w:val="none"/>
                <w:lang w:val="en-US" w:eastAsia="zh-CN"/>
              </w:rPr>
              <w:t>General issues:</w:t>
            </w:r>
          </w:p>
          <w:p>
            <w:pPr>
              <w:keepNext w:val="0"/>
              <w:keepLines w:val="0"/>
              <w:pageBreakBefore w:val="0"/>
              <w:kinsoku/>
              <w:wordWrap/>
              <w:overflowPunct/>
              <w:topLinePunct w:val="0"/>
              <w:autoSpaceDE/>
              <w:autoSpaceDN/>
              <w:bidi w:val="0"/>
              <w:adjustRightInd/>
              <w:ind w:leftChars="200"/>
              <w:textAlignment w:val="auto"/>
              <w:rPr>
                <w:b/>
                <w:sz w:val="20"/>
                <w:szCs w:val="20"/>
                <w:u w:val="single"/>
                <w:lang w:eastAsia="ko-KR"/>
              </w:rPr>
            </w:pPr>
            <w:r>
              <w:rPr>
                <w:b/>
                <w:sz w:val="20"/>
                <w:szCs w:val="20"/>
                <w:u w:val="single"/>
                <w:lang w:eastAsia="ko-KR"/>
              </w:rPr>
              <w:t>Issue 3-1-2: BS location</w:t>
            </w:r>
          </w:p>
          <w:p>
            <w:pPr>
              <w:keepNext w:val="0"/>
              <w:keepLines w:val="0"/>
              <w:pageBreakBefore w:val="0"/>
              <w:kinsoku/>
              <w:wordWrap/>
              <w:overflowPunct/>
              <w:topLinePunct w:val="0"/>
              <w:autoSpaceDE/>
              <w:autoSpaceDN/>
              <w:bidi w:val="0"/>
              <w:adjustRightInd/>
              <w:textAlignment w:val="auto"/>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w:t>
            </w:r>
            <w:r>
              <w:rPr>
                <w:rFonts w:eastAsiaTheme="minorEastAsia"/>
                <w:iCs/>
                <w:sz w:val="20"/>
                <w:szCs w:val="20"/>
              </w:rPr>
              <w:t>:</w:t>
            </w:r>
          </w:p>
          <w:p>
            <w:pPr>
              <w:pStyle w:val="28"/>
              <w:keepNext w:val="0"/>
              <w:keepLines w:val="0"/>
              <w:pageBreakBefore w:val="0"/>
              <w:numPr>
                <w:ilvl w:val="0"/>
                <w:numId w:val="5"/>
              </w:numPr>
              <w:kinsoku/>
              <w:wordWrap/>
              <w:overflowPunct/>
              <w:topLinePunct w:val="0"/>
              <w:autoSpaceDE/>
              <w:autoSpaceDN/>
              <w:bidi w:val="0"/>
              <w:adjustRightInd/>
              <w:ind w:hanging="357" w:firstLineChars="0"/>
              <w:textAlignment w:val="auto"/>
              <w:rPr>
                <w:rFonts w:eastAsia="宋体"/>
                <w:sz w:val="20"/>
                <w:szCs w:val="20"/>
              </w:rPr>
            </w:pPr>
            <w:r>
              <w:rPr>
                <w:rFonts w:eastAsia="宋体" w:cs="Times New Roman"/>
                <w:sz w:val="20"/>
                <w:szCs w:val="20"/>
              </w:rPr>
              <w:t>PositionVelocity-r17 in TS 38.331 can be used to signal the BS location to ATG UE.</w:t>
            </w:r>
          </w:p>
          <w:p>
            <w:pPr>
              <w:pStyle w:val="4"/>
              <w:keepNext w:val="0"/>
              <w:keepLines w:val="0"/>
              <w:pageBreakBefore w:val="0"/>
              <w:tabs>
                <w:tab w:val="left" w:pos="226"/>
                <w:tab w:val="left" w:pos="284"/>
                <w:tab w:val="left" w:pos="5103"/>
              </w:tabs>
              <w:kinsoku/>
              <w:wordWrap/>
              <w:overflowPunct/>
              <w:topLinePunct w:val="0"/>
              <w:autoSpaceDE/>
              <w:autoSpaceDN/>
              <w:bidi w:val="0"/>
              <w:adjustRightInd/>
              <w:snapToGrid w:val="0"/>
              <w:spacing w:after="0"/>
              <w:textAlignment w:val="auto"/>
              <w:rPr>
                <w:rFonts w:hint="eastAsia"/>
                <w:b/>
                <w:bCs/>
                <w:sz w:val="22"/>
                <w:szCs w:val="22"/>
                <w:u w:val="none"/>
                <w:lang w:val="en-US" w:eastAsia="zh-CN"/>
              </w:rPr>
            </w:pPr>
            <w:r>
              <w:rPr>
                <w:rFonts w:hint="eastAsia"/>
                <w:b/>
                <w:bCs/>
                <w:sz w:val="22"/>
                <w:szCs w:val="22"/>
                <w:u w:val="none"/>
                <w:lang w:val="en-GB" w:eastAsia="zh-CN"/>
              </w:rPr>
              <w:t>Timing and frequency pre-compensation by UE</w:t>
            </w:r>
            <w:r>
              <w:rPr>
                <w:rFonts w:hint="eastAsia"/>
                <w:b/>
                <w:bCs/>
                <w:sz w:val="22"/>
                <w:szCs w:val="22"/>
                <w:u w:val="none"/>
                <w:lang w:val="en-US" w:eastAsia="zh-CN"/>
              </w:rPr>
              <w:t>:</w:t>
            </w:r>
          </w:p>
          <w:p>
            <w:pPr>
              <w:keepNext w:val="0"/>
              <w:keepLines w:val="0"/>
              <w:pageBreakBefore w:val="0"/>
              <w:kinsoku/>
              <w:wordWrap/>
              <w:overflowPunct/>
              <w:topLinePunct w:val="0"/>
              <w:autoSpaceDE/>
              <w:autoSpaceDN/>
              <w:bidi w:val="0"/>
              <w:adjustRightInd/>
              <w:ind w:leftChars="200"/>
              <w:textAlignment w:val="auto"/>
              <w:rPr>
                <w:b/>
                <w:sz w:val="20"/>
                <w:szCs w:val="20"/>
                <w:u w:val="single"/>
                <w:lang w:eastAsia="ko-KR"/>
              </w:rPr>
            </w:pPr>
            <w:r>
              <w:rPr>
                <w:b/>
                <w:sz w:val="20"/>
                <w:szCs w:val="20"/>
                <w:u w:val="single"/>
                <w:lang w:eastAsia="ko-KR"/>
              </w:rPr>
              <w:t>Issue 3-2-1: Whether to introduce UE based Timing pre-compensation</w:t>
            </w:r>
          </w:p>
          <w:p>
            <w:pPr>
              <w:keepNext w:val="0"/>
              <w:keepLines w:val="0"/>
              <w:pageBreakBefore w:val="0"/>
              <w:kinsoku/>
              <w:wordWrap/>
              <w:overflowPunct/>
              <w:topLinePunct w:val="0"/>
              <w:autoSpaceDE/>
              <w:autoSpaceDN/>
              <w:bidi w:val="0"/>
              <w:adjustRightInd/>
              <w:textAlignment w:val="auto"/>
              <w:rPr>
                <w:rFonts w:hint="eastAsia" w:eastAsiaTheme="minorEastAsia"/>
                <w:iCs/>
                <w:sz w:val="20"/>
                <w:szCs w:val="20"/>
                <w:lang w:val="en-US" w:eastAsia="zh-CN"/>
              </w:rPr>
            </w:pPr>
            <w:r>
              <w:rPr>
                <w:rFonts w:eastAsiaTheme="minorEastAsia"/>
                <w:iCs/>
                <w:sz w:val="20"/>
                <w:szCs w:val="20"/>
                <w:highlight w:val="green"/>
              </w:rPr>
              <w:t>Agreements</w:t>
            </w:r>
            <w:r>
              <w:rPr>
                <w:rFonts w:hint="eastAsia" w:eastAsiaTheme="minorEastAsia"/>
                <w:iCs/>
                <w:sz w:val="20"/>
                <w:szCs w:val="20"/>
                <w:lang w:val="en-US" w:eastAsia="zh-CN"/>
              </w:rPr>
              <w:t>:</w:t>
            </w:r>
          </w:p>
          <w:p>
            <w:pPr>
              <w:pStyle w:val="28"/>
              <w:keepNext w:val="0"/>
              <w:keepLines w:val="0"/>
              <w:pageBreakBefore w:val="0"/>
              <w:numPr>
                <w:ilvl w:val="0"/>
                <w:numId w:val="5"/>
              </w:numPr>
              <w:kinsoku/>
              <w:wordWrap/>
              <w:overflowPunct/>
              <w:topLinePunct w:val="0"/>
              <w:autoSpaceDE/>
              <w:autoSpaceDN/>
              <w:bidi w:val="0"/>
              <w:adjustRightInd/>
              <w:ind w:hanging="357" w:firstLineChars="0"/>
              <w:textAlignment w:val="auto"/>
              <w:rPr>
                <w:rFonts w:eastAsia="宋体" w:cs="Times New Roman"/>
                <w:sz w:val="20"/>
                <w:szCs w:val="20"/>
              </w:rPr>
            </w:pPr>
            <w:r>
              <w:rPr>
                <w:rFonts w:eastAsia="宋体" w:cs="Times New Roman"/>
                <w:sz w:val="20"/>
                <w:szCs w:val="20"/>
              </w:rPr>
              <w:t xml:space="preserve">Support UE-based timing pre-compensation for ATG networks </w:t>
            </w:r>
          </w:p>
          <w:p>
            <w:pPr>
              <w:pStyle w:val="28"/>
              <w:keepNext w:val="0"/>
              <w:keepLines w:val="0"/>
              <w:pageBreakBefore w:val="0"/>
              <w:numPr>
                <w:ilvl w:val="1"/>
                <w:numId w:val="5"/>
              </w:numPr>
              <w:kinsoku/>
              <w:wordWrap/>
              <w:overflowPunct/>
              <w:topLinePunct w:val="0"/>
              <w:autoSpaceDE/>
              <w:autoSpaceDN/>
              <w:bidi w:val="0"/>
              <w:adjustRightInd/>
              <w:ind w:firstLineChars="0"/>
              <w:textAlignment w:val="auto"/>
              <w:rPr>
                <w:rFonts w:eastAsia="宋体" w:cs="Times New Roman"/>
                <w:sz w:val="20"/>
                <w:szCs w:val="20"/>
              </w:rPr>
            </w:pPr>
            <w:r>
              <w:rPr>
                <w:rFonts w:eastAsia="宋体" w:cs="Times New Roman"/>
                <w:sz w:val="20"/>
                <w:szCs w:val="20"/>
              </w:rPr>
              <w:t xml:space="preserve">FFS for details and whether NTN-based solution can be reused </w:t>
            </w:r>
          </w:p>
          <w:p>
            <w:pPr>
              <w:pStyle w:val="4"/>
              <w:keepNext w:val="0"/>
              <w:keepLines w:val="0"/>
              <w:pageBreakBefore w:val="0"/>
              <w:tabs>
                <w:tab w:val="left" w:pos="226"/>
                <w:tab w:val="left" w:pos="284"/>
                <w:tab w:val="left" w:pos="5103"/>
              </w:tabs>
              <w:kinsoku/>
              <w:wordWrap/>
              <w:overflowPunct/>
              <w:topLinePunct w:val="0"/>
              <w:autoSpaceDE/>
              <w:autoSpaceDN/>
              <w:bidi w:val="0"/>
              <w:adjustRightInd/>
              <w:snapToGrid w:val="0"/>
              <w:spacing w:after="0"/>
              <w:textAlignment w:val="auto"/>
              <w:rPr>
                <w:rFonts w:hint="eastAsia"/>
                <w:b/>
                <w:bCs/>
                <w:sz w:val="22"/>
                <w:szCs w:val="22"/>
                <w:u w:val="none"/>
                <w:lang w:val="en-US" w:eastAsia="zh-CN"/>
              </w:rPr>
            </w:pPr>
            <w:r>
              <w:rPr>
                <w:rFonts w:hint="eastAsia"/>
                <w:b/>
                <w:bCs/>
                <w:sz w:val="22"/>
                <w:szCs w:val="22"/>
                <w:u w:val="none"/>
                <w:lang w:val="en-GB" w:eastAsia="zh-CN"/>
              </w:rPr>
              <w:t>Timing requirements</w:t>
            </w:r>
            <w:r>
              <w:rPr>
                <w:rFonts w:hint="eastAsia"/>
                <w:b/>
                <w:bCs/>
                <w:sz w:val="22"/>
                <w:szCs w:val="22"/>
                <w:u w:val="none"/>
                <w:lang w:val="en-US" w:eastAsia="zh-CN"/>
              </w:rPr>
              <w:t>:</w:t>
            </w:r>
          </w:p>
          <w:p>
            <w:pPr>
              <w:keepNext w:val="0"/>
              <w:keepLines w:val="0"/>
              <w:pageBreakBefore w:val="0"/>
              <w:kinsoku/>
              <w:wordWrap/>
              <w:overflowPunct/>
              <w:topLinePunct w:val="0"/>
              <w:autoSpaceDE/>
              <w:autoSpaceDN/>
              <w:bidi w:val="0"/>
              <w:adjustRightInd/>
              <w:ind w:leftChars="200"/>
              <w:textAlignment w:val="auto"/>
              <w:rPr>
                <w:b/>
                <w:sz w:val="20"/>
                <w:szCs w:val="20"/>
                <w:u w:val="single"/>
                <w:lang w:eastAsia="ko-KR"/>
              </w:rPr>
            </w:pPr>
            <w:r>
              <w:rPr>
                <w:b/>
                <w:sz w:val="20"/>
                <w:szCs w:val="20"/>
                <w:u w:val="single"/>
                <w:lang w:eastAsia="ko-KR"/>
              </w:rPr>
              <w:t>Issue 3-3-2: Timing advance</w:t>
            </w:r>
          </w:p>
          <w:p>
            <w:pPr>
              <w:keepNext w:val="0"/>
              <w:keepLines w:val="0"/>
              <w:pageBreakBefore w:val="0"/>
              <w:kinsoku/>
              <w:wordWrap/>
              <w:overflowPunct/>
              <w:topLinePunct w:val="0"/>
              <w:autoSpaceDE/>
              <w:autoSpaceDN/>
              <w:bidi w:val="0"/>
              <w:adjustRightInd/>
              <w:textAlignment w:val="auto"/>
              <w:rPr>
                <w:rFonts w:eastAsiaTheme="minorEastAsia"/>
                <w:iCs/>
                <w:sz w:val="20"/>
                <w:szCs w:val="20"/>
              </w:rPr>
            </w:pPr>
            <w:r>
              <w:rPr>
                <w:rFonts w:eastAsiaTheme="minorEastAsia"/>
                <w:iCs/>
                <w:sz w:val="20"/>
                <w:szCs w:val="20"/>
                <w:highlight w:val="green"/>
              </w:rPr>
              <w:t>Agreements</w:t>
            </w:r>
            <w:r>
              <w:rPr>
                <w:rFonts w:eastAsiaTheme="minorEastAsia"/>
                <w:iCs/>
                <w:sz w:val="20"/>
                <w:szCs w:val="20"/>
              </w:rPr>
              <w:t>:</w:t>
            </w:r>
          </w:p>
          <w:p>
            <w:pPr>
              <w:pStyle w:val="28"/>
              <w:keepNext w:val="0"/>
              <w:keepLines w:val="0"/>
              <w:pageBreakBefore w:val="0"/>
              <w:numPr>
                <w:ilvl w:val="0"/>
                <w:numId w:val="5"/>
              </w:numPr>
              <w:kinsoku/>
              <w:wordWrap/>
              <w:overflowPunct/>
              <w:topLinePunct w:val="0"/>
              <w:autoSpaceDE/>
              <w:autoSpaceDN/>
              <w:bidi w:val="0"/>
              <w:adjustRightInd/>
              <w:ind w:hanging="357" w:firstLineChars="0"/>
              <w:textAlignment w:val="auto"/>
              <w:rPr>
                <w:rFonts w:eastAsia="宋体"/>
                <w:sz w:val="20"/>
                <w:szCs w:val="20"/>
              </w:rPr>
            </w:pPr>
            <w:bookmarkStart w:id="0" w:name="_Hlk118881565"/>
            <w:r>
              <w:rPr>
                <w:rFonts w:eastAsia="宋体"/>
                <w:sz w:val="20"/>
                <w:szCs w:val="20"/>
              </w:rPr>
              <w:t>For timing Advance adjustment accuracy requirement, legacy value can be reused.</w:t>
            </w:r>
          </w:p>
          <w:p>
            <w:pPr>
              <w:keepNext w:val="0"/>
              <w:keepLines w:val="0"/>
              <w:pageBreakBefore w:val="0"/>
              <w:kinsoku/>
              <w:wordWrap/>
              <w:overflowPunct/>
              <w:topLinePunct w:val="0"/>
              <w:autoSpaceDE/>
              <w:autoSpaceDN/>
              <w:bidi w:val="0"/>
              <w:adjustRightInd/>
              <w:textAlignment w:val="auto"/>
              <w:rPr>
                <w:rFonts w:eastAsiaTheme="minorEastAsia"/>
                <w:iCs/>
                <w:sz w:val="20"/>
                <w:szCs w:val="20"/>
              </w:rPr>
            </w:pPr>
            <w:r>
              <w:rPr>
                <w:rFonts w:hint="eastAsia" w:eastAsiaTheme="minorEastAsia"/>
                <w:iCs/>
                <w:sz w:val="20"/>
                <w:szCs w:val="20"/>
                <w:highlight w:val="yellow"/>
              </w:rPr>
              <w:t>W</w:t>
            </w:r>
            <w:r>
              <w:rPr>
                <w:rFonts w:eastAsiaTheme="minorEastAsia"/>
                <w:iCs/>
                <w:sz w:val="20"/>
                <w:szCs w:val="20"/>
                <w:highlight w:val="yellow"/>
              </w:rPr>
              <w:t>ay forward</w:t>
            </w:r>
            <w:r>
              <w:rPr>
                <w:rFonts w:eastAsiaTheme="minorEastAsia"/>
                <w:iCs/>
                <w:sz w:val="20"/>
                <w:szCs w:val="20"/>
              </w:rPr>
              <w:t>:</w:t>
            </w:r>
          </w:p>
          <w:p>
            <w:pPr>
              <w:pStyle w:val="28"/>
              <w:keepNext w:val="0"/>
              <w:keepLines w:val="0"/>
              <w:pageBreakBefore w:val="0"/>
              <w:numPr>
                <w:ilvl w:val="0"/>
                <w:numId w:val="5"/>
              </w:numPr>
              <w:kinsoku/>
              <w:wordWrap/>
              <w:overflowPunct/>
              <w:topLinePunct w:val="0"/>
              <w:autoSpaceDE/>
              <w:autoSpaceDN/>
              <w:bidi w:val="0"/>
              <w:adjustRightInd/>
              <w:ind w:hanging="357" w:firstLineChars="0"/>
              <w:textAlignment w:val="auto"/>
              <w:rPr>
                <w:rFonts w:eastAsia="宋体"/>
                <w:sz w:val="20"/>
                <w:szCs w:val="20"/>
              </w:rPr>
            </w:pPr>
            <w:r>
              <w:rPr>
                <w:rFonts w:eastAsia="宋体"/>
                <w:sz w:val="20"/>
                <w:szCs w:val="20"/>
              </w:rPr>
              <w:t>Further discuss timing advance adjustment delay requirement.</w:t>
            </w:r>
          </w:p>
          <w:bookmarkEnd w:id="0"/>
          <w:p>
            <w:pPr>
              <w:keepNext w:val="0"/>
              <w:keepLines w:val="0"/>
              <w:pageBreakBefore w:val="0"/>
              <w:numPr>
                <w:ilvl w:val="0"/>
                <w:numId w:val="0"/>
              </w:numPr>
              <w:kinsoku/>
              <w:wordWrap/>
              <w:overflowPunct/>
              <w:topLinePunct w:val="0"/>
              <w:autoSpaceDE/>
              <w:autoSpaceDN/>
              <w:bidi w:val="0"/>
              <w:adjustRightInd/>
              <w:ind w:leftChars="200"/>
              <w:textAlignment w:val="auto"/>
              <w:rPr>
                <w:b/>
                <w:sz w:val="20"/>
                <w:szCs w:val="20"/>
                <w:u w:val="single"/>
                <w:lang w:eastAsia="ko-KR"/>
              </w:rPr>
            </w:pPr>
            <w:r>
              <w:rPr>
                <w:b/>
                <w:sz w:val="20"/>
                <w:szCs w:val="20"/>
                <w:u w:val="single"/>
                <w:lang w:eastAsia="ko-KR"/>
              </w:rPr>
              <w:t>Issue 3-3-4: deriveSSB-IndexFromCell and deriveSSB-IndexFromCell-inter tolerance</w:t>
            </w:r>
          </w:p>
          <w:p>
            <w:pPr>
              <w:keepNext w:val="0"/>
              <w:keepLines w:val="0"/>
              <w:pageBreakBefore w:val="0"/>
              <w:kinsoku/>
              <w:wordWrap/>
              <w:overflowPunct/>
              <w:topLinePunct w:val="0"/>
              <w:autoSpaceDE/>
              <w:autoSpaceDN/>
              <w:bidi w:val="0"/>
              <w:adjustRightInd/>
              <w:textAlignment w:val="auto"/>
              <w:rPr>
                <w:rFonts w:eastAsia="宋体"/>
                <w:sz w:val="20"/>
                <w:szCs w:val="20"/>
              </w:rPr>
            </w:pPr>
            <w:r>
              <w:rPr>
                <w:rFonts w:hint="eastAsia" w:eastAsia="宋体"/>
                <w:sz w:val="20"/>
                <w:szCs w:val="20"/>
                <w:highlight w:val="green"/>
              </w:rPr>
              <w:t>A</w:t>
            </w:r>
            <w:r>
              <w:rPr>
                <w:rFonts w:eastAsia="宋体"/>
                <w:sz w:val="20"/>
                <w:szCs w:val="20"/>
                <w:highlight w:val="green"/>
              </w:rPr>
              <w:t>greement</w:t>
            </w:r>
            <w:r>
              <w:rPr>
                <w:rFonts w:eastAsia="宋体"/>
                <w:sz w:val="20"/>
                <w:szCs w:val="20"/>
              </w:rPr>
              <w:t>:</w:t>
            </w:r>
          </w:p>
          <w:p>
            <w:pPr>
              <w:pStyle w:val="28"/>
              <w:keepNext w:val="0"/>
              <w:keepLines w:val="0"/>
              <w:pageBreakBefore w:val="0"/>
              <w:numPr>
                <w:ilvl w:val="0"/>
                <w:numId w:val="5"/>
              </w:numPr>
              <w:kinsoku/>
              <w:wordWrap/>
              <w:overflowPunct/>
              <w:topLinePunct w:val="0"/>
              <w:autoSpaceDE/>
              <w:autoSpaceDN/>
              <w:bidi w:val="0"/>
              <w:adjustRightInd/>
              <w:ind w:hanging="357" w:firstLineChars="0"/>
              <w:textAlignment w:val="auto"/>
              <w:rPr>
                <w:rFonts w:hint="default"/>
                <w:b/>
                <w:sz w:val="20"/>
                <w:szCs w:val="20"/>
                <w:u w:val="single"/>
                <w:lang w:val="en-US" w:eastAsia="zh-CN"/>
              </w:rPr>
            </w:pPr>
            <w:r>
              <w:rPr>
                <w:rFonts w:eastAsia="宋体"/>
                <w:sz w:val="20"/>
                <w:szCs w:val="20"/>
              </w:rPr>
              <w:t xml:space="preserve">Legacy TN requirement can be reused. </w:t>
            </w:r>
            <w:r>
              <w:rPr>
                <w:rFonts w:cs="Times New Roman"/>
                <w:color w:val="000000"/>
                <w:sz w:val="20"/>
                <w:szCs w:val="20"/>
                <w:shd w:val="clear" w:color="auto" w:fill="FFFFFF"/>
              </w:rPr>
              <w:t>Whether ‘deriveSSB-IndexFromCell’ and/or ‘deriveSSB-IndexFromCell-inter’ are applicable to ATG scenarios is FFS</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The general aspects, the timing and frequency pre-compensation by UE side have been generally identified in last meeting. All the suspending issues are around the timing requirements. In this document, we will provide some further analysis on timing requirements of ATG based on the multiple new characteristics of ATG scenario.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the following key points should be noted:</w:t>
      </w:r>
    </w:p>
    <w:p>
      <w:pPr>
        <w:numPr>
          <w:ilvl w:val="0"/>
          <w:numId w:val="6"/>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6"/>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6"/>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6"/>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6"/>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6"/>
        </w:numPr>
        <w:ind w:left="420" w:leftChars="0" w:hanging="420" w:firstLineChars="0"/>
        <w:rPr>
          <w:rFonts w:hint="default"/>
          <w:lang w:val="en-US" w:eastAsia="zh-CN"/>
        </w:rPr>
      </w:pPr>
      <w:r>
        <w:rPr>
          <w:rFonts w:hint="eastAsia"/>
          <w:lang w:val="en-US" w:eastAsia="zh-CN"/>
        </w:rPr>
        <w:t>Height of CPE: 3km--10km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Around all the timing requirements, the assumption of maximum distance between CPE and BS is the foundation of discussion. Here we cite the observations about this maximum distance in our another document[3]: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numPr>
                <w:ilvl w:val="0"/>
                <w:numId w:val="0"/>
              </w:numPr>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Under the assumption of traditional TN deployment, considering the ISD of 100-200 km, the maximum distance between CPE and BS is 68-134 km or 58-115 km.</w:t>
            </w:r>
          </w:p>
          <w:p>
            <w:pPr>
              <w:pStyle w:val="4"/>
              <w:numPr>
                <w:ilvl w:val="0"/>
                <w:numId w:val="0"/>
              </w:numPr>
              <w:jc w:val="both"/>
              <w:rPr>
                <w:rFonts w:hint="default" w:eastAsia="宋体"/>
                <w:color w:val="auto"/>
                <w:sz w:val="20"/>
                <w:szCs w:val="20"/>
                <w:highlight w:val="none"/>
                <w:vertAlign w:val="baseline"/>
                <w:lang w:val="en-US" w:eastAsia="zh-CN"/>
              </w:rPr>
            </w:pPr>
            <w:r>
              <w:rPr>
                <w:rFonts w:hint="eastAsia" w:eastAsia="宋体" w:cs="Times New Roman"/>
                <w:b/>
                <w:bCs/>
                <w:color w:val="auto"/>
                <w:sz w:val="20"/>
                <w:szCs w:val="20"/>
                <w:highlight w:val="none"/>
                <w:lang w:val="en-US" w:eastAsia="zh-CN" w:bidi="ar-SA"/>
              </w:rPr>
              <w:t>Observation 2: Under the assumption of horizon beam coverage deployment, considering the ISD of 100-200 km, the maximum distance between CPE and BS is 120-220 km for non sub-array case and 150-250 km for sub-array case.</w:t>
            </w:r>
          </w:p>
        </w:tc>
      </w:tr>
    </w:tbl>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such observation, we can discuss from the following issues:</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Timing advance</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Whether need to i</w:t>
      </w:r>
      <w:r>
        <w:rPr>
          <w:rFonts w:eastAsia="宋体" w:cs="Times New Roman"/>
          <w:sz w:val="20"/>
          <w:szCs w:val="20"/>
        </w:rPr>
        <w:t>ntroduce the mechanism of K</w:t>
      </w:r>
      <w:r>
        <w:rPr>
          <w:rFonts w:eastAsia="宋体" w:cs="Times New Roman"/>
          <w:sz w:val="20"/>
          <w:szCs w:val="20"/>
          <w:vertAlign w:val="subscript"/>
        </w:rPr>
        <w:t>offset</w:t>
      </w:r>
      <w:r>
        <w:rPr>
          <w:rFonts w:eastAsia="宋体" w:cs="Times New Roman"/>
          <w:sz w:val="20"/>
          <w:szCs w:val="20"/>
        </w:rPr>
        <w:t xml:space="preserve"> in ATG system</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Gradual timing adjustment</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 xml:space="preserve">Initial transmit timing requirements </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eastAsia" w:eastAsia="宋体"/>
          <w:i/>
          <w:iCs/>
          <w:color w:val="auto"/>
          <w:sz w:val="20"/>
          <w:szCs w:val="20"/>
          <w:highlight w:val="none"/>
          <w:lang w:val="en-US" w:eastAsia="zh-CN"/>
        </w:rPr>
        <w:t>deriveSSB-IndexFromCell</w:t>
      </w:r>
      <w:r>
        <w:rPr>
          <w:rFonts w:hint="eastAsia" w:eastAsia="宋体"/>
          <w:color w:val="auto"/>
          <w:sz w:val="20"/>
          <w:szCs w:val="20"/>
          <w:highlight w:val="none"/>
          <w:lang w:val="en-US" w:eastAsia="zh-CN"/>
        </w:rPr>
        <w:t xml:space="preserve"> and </w:t>
      </w:r>
      <w:r>
        <w:rPr>
          <w:rFonts w:hint="eastAsia" w:eastAsia="宋体"/>
          <w:i/>
          <w:iCs/>
          <w:color w:val="auto"/>
          <w:sz w:val="20"/>
          <w:szCs w:val="20"/>
          <w:highlight w:val="none"/>
          <w:lang w:val="en-US" w:eastAsia="zh-CN"/>
        </w:rPr>
        <w:t>deriveSSB-IndexFromCell-inter</w:t>
      </w:r>
    </w:p>
    <w:p>
      <w:pPr>
        <w:pStyle w:val="3"/>
        <w:numPr>
          <w:ilvl w:val="0"/>
          <w:numId w:val="0"/>
        </w:numPr>
        <w:bidi w:val="0"/>
        <w:ind w:leftChars="0"/>
        <w:rPr>
          <w:lang w:eastAsia="zh-CN"/>
        </w:rPr>
      </w:pPr>
      <w:r>
        <w:rPr>
          <w:rFonts w:hint="eastAsia"/>
          <w:lang w:val="en-US" w:eastAsia="zh-CN"/>
        </w:rPr>
        <w:t>2.1 Timing advance</w:t>
      </w:r>
    </w:p>
    <w:p>
      <w:pPr>
        <w:pStyle w:val="4"/>
        <w:rPr>
          <w:rFonts w:hint="eastAsia" w:eastAsia="宋体"/>
          <w:color w:val="auto"/>
          <w:sz w:val="20"/>
          <w:szCs w:val="20"/>
          <w:lang w:val="en-US" w:eastAsia="zh-CN"/>
        </w:rPr>
      </w:pPr>
      <w:r>
        <w:rPr>
          <w:rFonts w:hint="eastAsia" w:eastAsia="宋体"/>
          <w:color w:val="auto"/>
          <w:sz w:val="20"/>
          <w:szCs w:val="20"/>
          <w:lang w:val="en-US" w:eastAsia="zh-CN"/>
        </w:rPr>
        <w:t>Due to the large cell coverage and high speed moving, the corresponding large propagation delay and large timing drift would bring challenge to legacy solution of TA adjustment. Regarding to legacy CL TA adjustment, there are three types of adjustment:</w:t>
      </w:r>
    </w:p>
    <w:p>
      <w:pPr>
        <w:pStyle w:val="4"/>
        <w:numPr>
          <w:ilvl w:val="0"/>
          <w:numId w:val="7"/>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Null TA indication</w:t>
      </w:r>
    </w:p>
    <w:p>
      <w:pPr>
        <w:pStyle w:val="4"/>
        <w:numPr>
          <w:ilvl w:val="0"/>
          <w:numId w:val="7"/>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6 bits offset value TA</w:t>
      </w:r>
    </w:p>
    <w:p>
      <w:pPr>
        <w:pStyle w:val="4"/>
        <w:numPr>
          <w:ilvl w:val="0"/>
          <w:numId w:val="7"/>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12 bits absolute value TA</w:t>
      </w:r>
    </w:p>
    <w:p>
      <w:pPr>
        <w:pStyle w:val="4"/>
        <w:numPr>
          <w:ilvl w:val="0"/>
          <w:numId w:val="0"/>
        </w:numPr>
        <w:ind w:leftChars="0"/>
        <w:rPr>
          <w:rFonts w:hint="eastAsia" w:eastAsia="宋体"/>
          <w:color w:val="auto"/>
          <w:sz w:val="20"/>
          <w:szCs w:val="20"/>
          <w:lang w:val="en-US" w:eastAsia="zh-CN"/>
        </w:rPr>
      </w:pPr>
      <w:r>
        <w:rPr>
          <w:rFonts w:hint="eastAsia" w:eastAsia="宋体"/>
          <w:color w:val="auto"/>
          <w:sz w:val="20"/>
          <w:szCs w:val="20"/>
          <w:lang w:val="en-US" w:eastAsia="zh-CN"/>
        </w:rPr>
        <w:t>We analysis the three types of adjustment under ATG scenario respectively.</w:t>
      </w:r>
    </w:p>
    <w:p>
      <w:pPr>
        <w:pStyle w:val="4"/>
        <w:numPr>
          <w:ilvl w:val="0"/>
          <w:numId w:val="0"/>
        </w:numPr>
        <w:ind w:leftChars="0"/>
        <w:rPr>
          <w:rFonts w:hint="eastAsia" w:eastAsia="宋体"/>
          <w:color w:val="auto"/>
          <w:sz w:val="20"/>
          <w:szCs w:val="20"/>
          <w:lang w:val="en-US" w:eastAsia="zh-CN"/>
        </w:rPr>
      </w:pPr>
      <w:r>
        <w:rPr>
          <w:rFonts w:hint="eastAsia" w:eastAsia="宋体"/>
          <w:color w:val="auto"/>
          <w:sz w:val="20"/>
          <w:szCs w:val="20"/>
          <w:lang w:val="en-US" w:eastAsia="zh-CN"/>
        </w:rPr>
        <w:t xml:space="preserve">For </w:t>
      </w:r>
      <w:r>
        <w:rPr>
          <w:rFonts w:hint="default" w:eastAsia="宋体"/>
          <w:color w:val="auto"/>
          <w:sz w:val="20"/>
          <w:szCs w:val="20"/>
          <w:lang w:val="en-US" w:eastAsia="zh-CN"/>
        </w:rPr>
        <w:t>Null TA indication</w:t>
      </w:r>
      <w:r>
        <w:rPr>
          <w:rFonts w:hint="eastAsia" w:eastAsia="宋体"/>
          <w:color w:val="auto"/>
          <w:sz w:val="20"/>
          <w:szCs w:val="20"/>
          <w:lang w:val="en-US" w:eastAsia="zh-CN"/>
        </w:rPr>
        <w:t>, which is oriented to PRACH transmission. Respect to PRACH design, current preamble format design can support as much as about 102 km cell coverage with the assumption of applying the longest CP. While such cell coverage can not meet the demand of maximum distance between CPE and BS in ATG as the cited observation above. So by comparing the maximum distance and current PRACH CP coverage, we can conclude that additional UE based timing pre-compensation is necessary. From the perspective of RRM requirements, the exact value of such UE based timing pre-compensation totally depends on UE determination.</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Based on the maximum distance between CPE and BS in ATG derived from the assumption of 100-200km ISD, UE based timing pre-compensation for PRACH transmission is necessary for ATG CPE.</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For </w:t>
      </w:r>
      <w:r>
        <w:rPr>
          <w:rFonts w:hint="default" w:eastAsia="宋体"/>
          <w:color w:val="auto"/>
          <w:sz w:val="20"/>
          <w:szCs w:val="20"/>
          <w:lang w:val="en-US" w:eastAsia="zh-CN"/>
        </w:rPr>
        <w:t xml:space="preserve">6 bits offset value </w:t>
      </w:r>
      <w:r>
        <w:rPr>
          <w:rFonts w:hint="eastAsia" w:eastAsia="宋体"/>
          <w:color w:val="auto"/>
          <w:sz w:val="20"/>
          <w:szCs w:val="20"/>
          <w:lang w:val="en-US" w:eastAsia="zh-CN"/>
        </w:rPr>
        <w:t xml:space="preserve">TA, TA offset is indicated by TAC. 6 bits TAC can indicate a limited scope, we need to check whether such limited scope can cover the maximum time drift. In R17 NTN, due to the up to 40 us/s time drift exists, which means NB has to frequently send TAC since the 6 bits offset is hard to trace such drastic drift in timing. So additional OL TA is introduced in R17 NTN. </w:t>
      </w:r>
    </w:p>
    <w:p>
      <w:pPr>
        <w:pStyle w:val="4"/>
        <w:rPr>
          <w:rFonts w:hint="default" w:eastAsia="宋体"/>
          <w:color w:val="auto"/>
          <w:sz w:val="20"/>
          <w:szCs w:val="20"/>
          <w:lang w:val="en-US" w:eastAsia="zh-CN"/>
        </w:rPr>
      </w:pPr>
      <w:r>
        <w:rPr>
          <w:rFonts w:hint="eastAsia" w:eastAsia="宋体"/>
          <w:color w:val="auto"/>
          <w:sz w:val="20"/>
          <w:szCs w:val="20"/>
          <w:lang w:val="en-US" w:eastAsia="zh-CN"/>
        </w:rPr>
        <w:t xml:space="preserve">Based on the legacy CL TA with 6 bits TAC indication, </w:t>
      </w:r>
    </w:p>
    <w:p>
      <w:pPr>
        <w:pStyle w:val="4"/>
        <w:rPr>
          <w:rFonts w:ascii="Cambria Math" w:hAnsi="Cambria Math"/>
          <w:i w:val="0"/>
        </w:rPr>
      </w:pPr>
      <m:oMathPara>
        <m:oMath>
          <m:r>
            <w:rPr>
              <w:rFonts w:ascii="Cambria Math" w:hAnsi="Cambria Math"/>
            </w:rPr>
            <m:t>TA=T</m:t>
          </m:r>
          <m:sSub>
            <m:sSubPr>
              <m:ctrlPr>
                <w:rPr>
                  <w:rFonts w:ascii="Cambria Math" w:hAnsi="Cambria Math"/>
                  <w:i/>
                </w:rPr>
              </m:ctrlPr>
            </m:sSubPr>
            <m:e>
              <m:r>
                <w:rPr>
                  <w:rFonts w:ascii="Cambria Math" w:hAnsi="Cambria Math"/>
                </w:rPr>
                <m:t>A</m:t>
              </m:r>
              <m:ctrlPr>
                <w:rPr>
                  <w:rFonts w:ascii="Cambria Math" w:hAnsi="Cambria Math"/>
                  <w:i/>
                </w:rPr>
              </m:ctrlPr>
            </m:e>
            <m:sub>
              <m:r>
                <w:rPr>
                  <w:rFonts w:ascii="Cambria Math" w:hAnsi="Cambria Math"/>
                </w:rPr>
                <m:t>old</m:t>
              </m:r>
              <m:ctrlPr>
                <w:rPr>
                  <w:rFonts w:ascii="Cambria Math" w:hAnsi="Cambria Math"/>
                  <w:i/>
                </w:rPr>
              </m:ctrlP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TAC-31</m:t>
                  </m:r>
                  <m:ctrlPr>
                    <w:rPr>
                      <w:rFonts w:ascii="Cambria Math" w:hAnsi="Cambria Math"/>
                      <w:i/>
                    </w:rPr>
                  </m:ctrlPr>
                </m:e>
              </m:d>
              <m:r>
                <w:rPr>
                  <w:rFonts w:ascii="Cambria Math" w:hAnsi="Cambria Math"/>
                </w:rPr>
                <m:t>∙16∙64</m:t>
              </m:r>
              <m:ctrlPr>
                <w:rPr>
                  <w:rFonts w:ascii="Cambria Math" w:hAnsi="Cambria Math"/>
                  <w:i/>
                </w:rPr>
              </m:ctrlPr>
            </m:num>
            <m:den>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ctrlPr>
                <w:rPr>
                  <w:rFonts w:ascii="Cambria Math" w:hAnsi="Cambria Math"/>
                  <w:i/>
                </w:rPr>
              </m:ctrlPr>
            </m:den>
          </m:f>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c</m:t>
              </m:r>
              <m:ctrlPr>
                <w:rPr>
                  <w:rFonts w:ascii="Cambria Math" w:hAnsi="Cambria Math"/>
                  <w:i/>
                </w:rPr>
              </m:ctrlPr>
            </m:sub>
          </m:sSub>
        </m:oMath>
      </m:oMathPara>
    </w:p>
    <w:p>
      <w:pPr>
        <w:pStyle w:val="4"/>
        <w:rPr>
          <w:rFonts w:hint="eastAsia" w:eastAsia="宋体"/>
          <w:lang w:val="en-US" w:eastAsia="zh-CN"/>
        </w:rPr>
      </w:pPr>
      <w:r>
        <w:rPr>
          <w:rFonts w:hint="eastAsia" w:eastAsia="宋体"/>
          <w:lang w:val="en-US" w:eastAsia="zh-CN"/>
        </w:rPr>
        <w:t>W</w:t>
      </w:r>
      <w:r>
        <w:t xml:space="preserve">here </w:t>
      </w:r>
      <m:oMath>
        <m:r>
          <w:rPr>
            <w:rFonts w:ascii="Cambria Math" w:hAnsi="Cambria Math"/>
          </w:rPr>
          <m:t>TAC = 0,1,2, ..., 63</m:t>
        </m:r>
      </m:oMath>
      <w:r>
        <w:rPr>
          <w:rFonts w:hint="eastAsia" w:ascii="Cambria Math" w:hAnsi="Cambria Math" w:eastAsia="宋体"/>
          <w:i w:val="0"/>
          <w:lang w:val="en-US" w:eastAsia="zh-CN"/>
        </w:rPr>
        <w:t xml:space="preserve">, </w:t>
      </w:r>
      <m:oMath>
        <m:r>
          <w:rPr>
            <w:rFonts w:ascii="Cambria Math" w:hAnsi="Cambria Math"/>
          </w:rPr>
          <m:t>T</m:t>
        </m:r>
        <m:sSub>
          <m:sSubPr>
            <m:ctrlPr>
              <w:rPr>
                <w:rFonts w:ascii="Cambria Math" w:hAnsi="Cambria Math"/>
                <w:i/>
              </w:rPr>
            </m:ctrlPr>
          </m:sSubPr>
          <m:e>
            <m:r>
              <w:rPr>
                <w:rFonts w:ascii="Cambria Math" w:hAnsi="Cambria Math"/>
              </w:rPr>
              <m:t>A</m:t>
            </m:r>
            <m:ctrlPr>
              <w:rPr>
                <w:rFonts w:ascii="Cambria Math" w:hAnsi="Cambria Math"/>
                <w:i/>
              </w:rPr>
            </m:ctrlPr>
          </m:e>
          <m:sub>
            <m:r>
              <w:rPr>
                <w:rFonts w:ascii="Cambria Math" w:hAnsi="Cambria Math"/>
              </w:rPr>
              <m:t>old</m:t>
            </m:r>
            <m:ctrlPr>
              <w:rPr>
                <w:rFonts w:ascii="Cambria Math" w:hAnsi="Cambria Math"/>
                <w:i/>
              </w:rPr>
            </m:ctrlPr>
          </m:sub>
        </m:sSub>
      </m:oMath>
      <w:r>
        <w:t xml:space="preserve"> is the TA the UE is currently applying to its UL transmissions, </w:t>
      </w:r>
      <m:oMath>
        <m:r>
          <w:rPr>
            <w:rFonts w:ascii="Cambria Math" w:hAnsi="Cambria Math"/>
          </w:rPr>
          <m:t>μ</m:t>
        </m:r>
      </m:oMath>
      <w:r>
        <w:t xml:space="preserve"> is the numerology of the UL transmission and </w:t>
      </w:r>
      <m:oMath>
        <m:sSub>
          <m:sSubPr>
            <m:ctrlPr>
              <w:rPr>
                <w:rFonts w:ascii="Cambria Math" w:hAnsi="Cambria Math"/>
                <w:i/>
                <w:highlight w:val="none"/>
              </w:rPr>
            </m:ctrlPr>
          </m:sSubPr>
          <m:e>
            <m:r>
              <w:rPr>
                <w:rFonts w:ascii="Cambria Math" w:hAnsi="Cambria Math"/>
                <w:highlight w:val="none"/>
              </w:rPr>
              <m:t>T</m:t>
            </m:r>
            <m:ctrlPr>
              <w:rPr>
                <w:rFonts w:ascii="Cambria Math" w:hAnsi="Cambria Math"/>
                <w:i/>
                <w:highlight w:val="none"/>
              </w:rPr>
            </m:ctrlPr>
          </m:e>
          <m:sub>
            <m:r>
              <w:rPr>
                <w:rFonts w:ascii="Cambria Math" w:hAnsi="Cambria Math"/>
                <w:highlight w:val="none"/>
              </w:rPr>
              <m:t>c</m:t>
            </m:r>
            <m:ctrlPr>
              <w:rPr>
                <w:rFonts w:ascii="Cambria Math" w:hAnsi="Cambria Math"/>
                <w:i/>
                <w:highlight w:val="none"/>
              </w:rPr>
            </m:ctrlPr>
          </m:sub>
        </m:sSub>
        <m:r>
          <w:rPr>
            <w:rFonts w:ascii="Cambria Math" w:hAnsi="Cambria Math"/>
            <w:highlight w:val="none"/>
          </w:rPr>
          <m:t>=0.509ns</m:t>
        </m:r>
      </m:oMath>
      <w:r>
        <w:rPr>
          <w:rFonts w:hint="eastAsia" w:ascii="Cambria Math" w:hAnsi="Cambria Math"/>
          <w:i w:val="0"/>
          <w:highlight w:val="none"/>
          <w:lang w:val="en-US" w:eastAsia="zh-CN"/>
        </w:rPr>
        <w:t>, Ts = 35.552ns</w:t>
      </w:r>
      <w:r>
        <w:rPr>
          <w:highlight w:val="none"/>
        </w:rPr>
        <w:t>.</w:t>
      </w:r>
      <w:r>
        <w:t xml:space="preserve"> </w:t>
      </w:r>
      <w:r>
        <w:rPr>
          <w:rFonts w:hint="eastAsia" w:eastAsia="宋体"/>
          <w:lang w:val="en-US" w:eastAsia="zh-CN"/>
        </w:rPr>
        <w:t>Thus, the range of timing adjustment indication is as follows:</w:t>
      </w:r>
    </w:p>
    <w:p>
      <w:pPr>
        <w:pStyle w:val="4"/>
        <w:jc w:val="center"/>
        <w:rPr>
          <w:rFonts w:hint="default" w:eastAsia="宋体"/>
          <w:lang w:val="en-US" w:eastAsia="zh-CN"/>
        </w:rPr>
      </w:pPr>
      <w:r>
        <w:rPr>
          <w:rFonts w:hint="eastAsia" w:eastAsia="宋体"/>
          <w:lang w:val="en-US" w:eastAsia="zh-CN"/>
        </w:rPr>
        <w:t>Table 1: The indication capability under 6 bit TAC</w:t>
      </w:r>
    </w:p>
    <w:tbl>
      <w:tblPr>
        <w:tblStyle w:val="17"/>
        <w:tblW w:w="8871"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
        <w:gridCol w:w="803"/>
        <w:gridCol w:w="1948"/>
        <w:gridCol w:w="1578"/>
        <w:gridCol w:w="2022"/>
        <w:gridCol w:w="2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dxa"/>
          </w:tcPr>
          <w:p>
            <w:pPr>
              <w:jc w:val="center"/>
              <w:rPr>
                <w:rFonts w:hint="eastAsia" w:cs="Times New Roman"/>
                <w:b w:val="0"/>
                <w:bCs/>
                <w:kern w:val="44"/>
                <w:sz w:val="21"/>
                <w:szCs w:val="21"/>
                <w:vertAlign w:val="baseline"/>
                <w:lang w:val="en-US" w:eastAsia="zh-CN" w:bidi="ar-SA"/>
              </w:rPr>
            </w:pPr>
            <m:oMathPara>
              <m:oMath>
                <m:r>
                  <w:rPr>
                    <w:rFonts w:ascii="Cambria Math" w:hAnsi="Cambria Math"/>
                    <w:sz w:val="21"/>
                    <w:szCs w:val="21"/>
                  </w:rPr>
                  <m:t>μ</m:t>
                </m:r>
              </m:oMath>
            </m:oMathPara>
          </w:p>
        </w:tc>
        <w:tc>
          <w:tcPr>
            <w:tcW w:w="803" w:type="dxa"/>
          </w:tcPr>
          <w:p>
            <w:pPr>
              <w:jc w:val="center"/>
              <w:rPr>
                <w:rFonts w:hint="eastAsia" w:cs="Times New Roman"/>
                <w:b w:val="0"/>
                <w:bCs/>
                <w:kern w:val="44"/>
                <w:sz w:val="21"/>
                <w:szCs w:val="21"/>
                <w:vertAlign w:val="baseline"/>
                <w:lang w:val="en-US" w:eastAsia="zh-CN" w:bidi="ar-SA"/>
              </w:rPr>
            </w:pPr>
            <w:r>
              <w:rPr>
                <w:rFonts w:hint="eastAsia" w:cs="Times New Roman"/>
                <w:b w:val="0"/>
                <w:bCs/>
                <w:kern w:val="44"/>
                <w:sz w:val="21"/>
                <w:szCs w:val="21"/>
                <w:vertAlign w:val="baseline"/>
                <w:lang w:val="en-US" w:eastAsia="zh-CN" w:bidi="ar-SA"/>
              </w:rPr>
              <w:t>SCS</w:t>
            </w:r>
          </w:p>
          <w:p>
            <w:pPr>
              <w:jc w:val="center"/>
              <w:rPr>
                <w:rFonts w:hint="default" w:cs="Times New Roman"/>
                <w:b w:val="0"/>
                <w:bCs/>
                <w:kern w:val="44"/>
                <w:sz w:val="21"/>
                <w:szCs w:val="21"/>
                <w:vertAlign w:val="baseline"/>
                <w:lang w:val="en-US" w:eastAsia="zh-CN" w:bidi="ar-SA"/>
              </w:rPr>
            </w:pPr>
            <w:r>
              <w:rPr>
                <w:rFonts w:hint="eastAsia" w:cs="Times New Roman"/>
                <w:b w:val="0"/>
                <w:bCs/>
                <w:kern w:val="44"/>
                <w:sz w:val="21"/>
                <w:szCs w:val="21"/>
                <w:vertAlign w:val="baseline"/>
                <w:lang w:val="en-US" w:eastAsia="zh-CN" w:bidi="ar-SA"/>
              </w:rPr>
              <w:t>(kHz)</w:t>
            </w:r>
          </w:p>
        </w:tc>
        <w:tc>
          <w:tcPr>
            <w:tcW w:w="1948" w:type="dxa"/>
          </w:tcPr>
          <w:p>
            <w:pPr>
              <w:jc w:val="center"/>
              <w:rPr>
                <w:rFonts w:hint="eastAsia" w:cs="Times New Roman"/>
                <w:b w:val="0"/>
                <w:bCs/>
                <w:kern w:val="44"/>
                <w:sz w:val="21"/>
                <w:szCs w:val="21"/>
                <w:vertAlign w:val="baseline"/>
                <w:lang w:val="en-US" w:eastAsia="zh-CN" w:bidi="ar-SA"/>
              </w:rPr>
            </w:pPr>
            <w:r>
              <w:rPr>
                <w:rFonts w:hint="eastAsia" w:cs="Times New Roman"/>
                <w:b w:val="0"/>
                <w:bCs/>
                <w:kern w:val="44"/>
                <w:sz w:val="21"/>
                <w:szCs w:val="21"/>
                <w:vertAlign w:val="baseline"/>
                <w:lang w:val="en-US" w:eastAsia="zh-CN" w:bidi="ar-SA"/>
              </w:rPr>
              <w:t>TAC step</w:t>
            </w:r>
          </w:p>
          <w:p>
            <w:pPr>
              <w:jc w:val="center"/>
              <w:rPr>
                <w:rFonts w:ascii="Cambria Math" w:hAnsi="Cambria Math"/>
                <w:i w:val="0"/>
                <w:color w:val="auto"/>
                <w:sz w:val="21"/>
                <w:szCs w:val="21"/>
              </w:rPr>
            </w:pPr>
            <w:r>
              <w:rPr>
                <w:rFonts w:hint="eastAsia"/>
                <w:color w:val="auto"/>
                <w:sz w:val="21"/>
                <w:szCs w:val="21"/>
                <w:lang w:val="en-US" w:eastAsia="zh-CN"/>
              </w:rPr>
              <w:t>i.e.16*64*Tc/2^</w:t>
            </w:r>
            <m:oMath>
              <w:bookmarkStart w:id="1" w:name="OLE_LINK159"/>
              <m:r>
                <w:rPr>
                  <w:rFonts w:ascii="Cambria Math" w:hAnsi="Cambria Math"/>
                  <w:color w:val="auto"/>
                  <w:sz w:val="21"/>
                  <w:szCs w:val="21"/>
                </w:rPr>
                <m:t>μ</m:t>
              </m:r>
            </m:oMath>
            <w:bookmarkEnd w:id="1"/>
          </w:p>
          <w:p>
            <w:pPr>
              <w:numPr>
                <w:ilvl w:val="0"/>
                <w:numId w:val="0"/>
              </w:numPr>
              <w:jc w:val="center"/>
              <w:rPr>
                <w:rFonts w:hint="default" w:cs="Times New Roman"/>
                <w:b w:val="0"/>
                <w:bCs/>
                <w:kern w:val="44"/>
                <w:sz w:val="21"/>
                <w:szCs w:val="21"/>
                <w:vertAlign w:val="baseline"/>
                <w:lang w:val="en-US" w:eastAsia="zh-CN" w:bidi="ar-SA"/>
              </w:rPr>
            </w:pPr>
            <w:r>
              <w:rPr>
                <w:rFonts w:hint="eastAsia" w:cs="Times New Roman"/>
                <w:b w:val="0"/>
                <w:bCs/>
                <w:kern w:val="44"/>
                <w:sz w:val="21"/>
                <w:szCs w:val="21"/>
                <w:vertAlign w:val="baseline"/>
                <w:lang w:val="en-US" w:eastAsia="zh-CN" w:bidi="ar-SA"/>
              </w:rPr>
              <w:t>(ns)</w:t>
            </w:r>
          </w:p>
          <w:p>
            <w:pPr>
              <w:jc w:val="center"/>
              <w:rPr>
                <w:rFonts w:hint="default" w:ascii="Cambria Math" w:hAnsi="Cambria Math"/>
                <w:i w:val="0"/>
                <w:color w:val="1D41D5"/>
                <w:sz w:val="21"/>
                <w:szCs w:val="21"/>
                <w:lang w:val="en-US" w:eastAsia="zh-CN"/>
              </w:rPr>
            </w:pPr>
          </w:p>
        </w:tc>
        <w:tc>
          <w:tcPr>
            <w:tcW w:w="1578" w:type="dxa"/>
          </w:tcPr>
          <w:p>
            <w:pPr>
              <w:jc w:val="center"/>
              <w:rPr>
                <w:rFonts w:hint="eastAsia"/>
                <w:color w:val="auto"/>
                <w:sz w:val="21"/>
                <w:szCs w:val="21"/>
                <w:lang w:val="en-US" w:eastAsia="zh-CN"/>
              </w:rPr>
            </w:pPr>
            <w:r>
              <w:rPr>
                <w:rFonts w:hint="eastAsia"/>
                <w:color w:val="auto"/>
                <w:sz w:val="21"/>
                <w:szCs w:val="21"/>
                <w:lang w:val="en-US" w:eastAsia="zh-CN"/>
              </w:rPr>
              <w:t>Max TA update</w:t>
            </w:r>
          </w:p>
          <w:p>
            <w:pPr>
              <w:numPr>
                <w:ilvl w:val="0"/>
                <w:numId w:val="0"/>
              </w:numPr>
              <w:jc w:val="center"/>
              <w:rPr>
                <w:rFonts w:hint="default"/>
                <w:color w:val="auto"/>
                <w:sz w:val="21"/>
                <w:szCs w:val="21"/>
                <w:lang w:val="en-US" w:eastAsia="zh-CN"/>
              </w:rPr>
            </w:pPr>
            <w:r>
              <w:rPr>
                <w:rFonts w:hint="eastAsia" w:cs="Times New Roman"/>
                <w:b w:val="0"/>
                <w:bCs/>
                <w:kern w:val="44"/>
                <w:sz w:val="21"/>
                <w:szCs w:val="21"/>
                <w:vertAlign w:val="baseline"/>
                <w:lang w:val="en-US" w:eastAsia="zh-CN" w:bidi="ar-SA"/>
              </w:rPr>
              <w:t>(ns)</w:t>
            </w:r>
          </w:p>
        </w:tc>
        <w:tc>
          <w:tcPr>
            <w:tcW w:w="2022" w:type="dxa"/>
          </w:tcPr>
          <w:p>
            <w:pPr>
              <w:jc w:val="center"/>
              <w:rPr>
                <w:rFonts w:hint="default"/>
                <w:color w:val="auto"/>
                <w:sz w:val="21"/>
                <w:szCs w:val="21"/>
                <w:lang w:val="en-US" w:eastAsia="zh-CN"/>
              </w:rPr>
            </w:pPr>
            <w:r>
              <w:rPr>
                <w:rFonts w:hint="eastAsia"/>
                <w:color w:val="auto"/>
                <w:sz w:val="21"/>
                <w:szCs w:val="21"/>
                <w:lang w:val="en-US" w:eastAsia="zh-CN"/>
              </w:rPr>
              <w:t>Distance offset</w:t>
            </w:r>
          </w:p>
          <w:p>
            <w:pPr>
              <w:jc w:val="center"/>
              <w:rPr>
                <w:rFonts w:hint="default"/>
                <w:color w:val="auto"/>
                <w:sz w:val="21"/>
                <w:szCs w:val="21"/>
                <w:lang w:val="en-US" w:eastAsia="zh-CN"/>
              </w:rPr>
            </w:pPr>
            <w:r>
              <w:rPr>
                <w:rFonts w:hint="eastAsia"/>
                <w:color w:val="auto"/>
                <w:sz w:val="21"/>
                <w:szCs w:val="21"/>
                <w:lang w:val="en-US" w:eastAsia="zh-CN"/>
              </w:rPr>
              <w:t>(0.5*Max TA update*C)</w:t>
            </w:r>
          </w:p>
          <w:p>
            <w:pPr>
              <w:jc w:val="center"/>
              <w:rPr>
                <w:rFonts w:hint="default"/>
                <w:color w:val="auto"/>
                <w:sz w:val="21"/>
                <w:szCs w:val="21"/>
                <w:lang w:val="en-US" w:eastAsia="zh-CN"/>
              </w:rPr>
            </w:pPr>
            <w:r>
              <w:rPr>
                <w:rFonts w:hint="eastAsia"/>
                <w:color w:val="auto"/>
                <w:sz w:val="21"/>
                <w:szCs w:val="21"/>
                <w:lang w:val="en-US" w:eastAsia="zh-CN"/>
              </w:rPr>
              <w:t>(km)</w:t>
            </w:r>
          </w:p>
        </w:tc>
        <w:tc>
          <w:tcPr>
            <w:tcW w:w="2077" w:type="dxa"/>
          </w:tcPr>
          <w:p>
            <w:pPr>
              <w:jc w:val="center"/>
              <w:rPr>
                <w:rFonts w:hint="default"/>
                <w:color w:val="auto"/>
                <w:sz w:val="21"/>
                <w:szCs w:val="21"/>
                <w:lang w:val="en-US" w:eastAsia="zh-CN"/>
              </w:rPr>
            </w:pPr>
            <w:r>
              <w:rPr>
                <w:rFonts w:hint="eastAsia"/>
                <w:color w:val="auto"/>
                <w:sz w:val="21"/>
                <w:szCs w:val="21"/>
                <w:lang w:val="en-US" w:eastAsia="zh-CN"/>
              </w:rPr>
              <w:t>Time interval</w:t>
            </w:r>
          </w:p>
          <w:p>
            <w:pPr>
              <w:jc w:val="center"/>
              <w:rPr>
                <w:rFonts w:hint="eastAsia"/>
                <w:color w:val="auto"/>
                <w:sz w:val="21"/>
                <w:szCs w:val="21"/>
                <w:lang w:val="en-US" w:eastAsia="zh-CN"/>
              </w:rPr>
            </w:pPr>
            <w:r>
              <w:rPr>
                <w:rFonts w:hint="eastAsia"/>
                <w:color w:val="auto"/>
                <w:sz w:val="21"/>
                <w:szCs w:val="21"/>
                <w:lang w:val="en-US" w:eastAsia="zh-CN"/>
              </w:rPr>
              <w:t>i.e. Flight distance/V</w:t>
            </w:r>
          </w:p>
          <w:p>
            <w:pPr>
              <w:jc w:val="center"/>
              <w:rPr>
                <w:rFonts w:hint="default"/>
                <w:color w:val="auto"/>
                <w:sz w:val="21"/>
                <w:szCs w:val="21"/>
                <w:lang w:val="en-US" w:eastAsia="zh-CN"/>
              </w:rPr>
            </w:pPr>
            <w:r>
              <w:rPr>
                <w:rFonts w:hint="eastAsia"/>
                <w:color w:val="auto"/>
                <w:sz w:val="21"/>
                <w:szCs w:val="21"/>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0</w:t>
            </w:r>
          </w:p>
        </w:tc>
        <w:tc>
          <w:tcPr>
            <w:tcW w:w="803"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15</w:t>
            </w:r>
          </w:p>
        </w:tc>
        <w:tc>
          <w:tcPr>
            <w:tcW w:w="1948"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568.83</w:t>
            </w:r>
          </w:p>
        </w:tc>
        <w:tc>
          <w:tcPr>
            <w:tcW w:w="1578"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18202.62</w:t>
            </w:r>
          </w:p>
        </w:tc>
        <w:tc>
          <w:tcPr>
            <w:tcW w:w="2022"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2.7</w:t>
            </w:r>
          </w:p>
        </w:tc>
        <w:tc>
          <w:tcPr>
            <w:tcW w:w="2077"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1</w:t>
            </w:r>
          </w:p>
        </w:tc>
        <w:tc>
          <w:tcPr>
            <w:tcW w:w="803"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30</w:t>
            </w:r>
          </w:p>
        </w:tc>
        <w:tc>
          <w:tcPr>
            <w:tcW w:w="1948"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284.42</w:t>
            </w:r>
          </w:p>
        </w:tc>
        <w:tc>
          <w:tcPr>
            <w:tcW w:w="1578" w:type="dxa"/>
            <w:vAlign w:val="top"/>
          </w:tcPr>
          <w:p>
            <w:pPr>
              <w:jc w:val="center"/>
              <w:rPr>
                <w:rFonts w:hint="eastAsia"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9101.31</w:t>
            </w:r>
          </w:p>
        </w:tc>
        <w:tc>
          <w:tcPr>
            <w:tcW w:w="2022"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1.4</w:t>
            </w:r>
          </w:p>
        </w:tc>
        <w:tc>
          <w:tcPr>
            <w:tcW w:w="2077"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2</w:t>
            </w:r>
          </w:p>
        </w:tc>
        <w:tc>
          <w:tcPr>
            <w:tcW w:w="803"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60</w:t>
            </w:r>
          </w:p>
        </w:tc>
        <w:tc>
          <w:tcPr>
            <w:tcW w:w="1948"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142.21</w:t>
            </w:r>
          </w:p>
        </w:tc>
        <w:tc>
          <w:tcPr>
            <w:tcW w:w="1578"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4550.66</w:t>
            </w:r>
          </w:p>
        </w:tc>
        <w:tc>
          <w:tcPr>
            <w:tcW w:w="2022"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0.7</w:t>
            </w:r>
          </w:p>
        </w:tc>
        <w:tc>
          <w:tcPr>
            <w:tcW w:w="2077"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2.1</w:t>
            </w:r>
          </w:p>
        </w:tc>
      </w:tr>
    </w:tbl>
    <w:p>
      <w:pPr>
        <w:pStyle w:val="4"/>
        <w:jc w:val="center"/>
      </w:pPr>
      <w:r>
        <w:drawing>
          <wp:inline distT="0" distB="0" distL="114300" distR="114300">
            <wp:extent cx="1691640" cy="1348740"/>
            <wp:effectExtent l="0" t="0" r="0" b="7620"/>
            <wp:docPr id="3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21"/>
                    <pic:cNvPicPr>
                      <a:picLocks noChangeAspect="1"/>
                    </pic:cNvPicPr>
                  </pic:nvPicPr>
                  <pic:blipFill>
                    <a:blip r:embed="rId5"/>
                    <a:stretch>
                      <a:fillRect/>
                    </a:stretch>
                  </pic:blipFill>
                  <pic:spPr>
                    <a:xfrm>
                      <a:off x="0" y="0"/>
                      <a:ext cx="1691640" cy="1348740"/>
                    </a:xfrm>
                    <a:prstGeom prst="rect">
                      <a:avLst/>
                    </a:prstGeom>
                    <a:noFill/>
                    <a:ln>
                      <a:noFill/>
                    </a:ln>
                  </pic:spPr>
                </pic:pic>
              </a:graphicData>
            </a:graphic>
          </wp:inline>
        </w:drawing>
      </w:r>
    </w:p>
    <w:p>
      <w:pPr>
        <w:pStyle w:val="4"/>
        <w:jc w:val="center"/>
        <w:rPr>
          <w:rFonts w:hint="default" w:eastAsia="宋体"/>
          <w:lang w:val="en-US" w:eastAsia="zh-CN"/>
        </w:rPr>
      </w:pPr>
      <w:r>
        <w:rPr>
          <w:rFonts w:hint="eastAsia" w:eastAsia="宋体"/>
          <w:lang w:val="en-US" w:eastAsia="zh-CN"/>
        </w:rPr>
        <w:t xml:space="preserve">Figure 1: Flight distance under 6 bit TAC </w:t>
      </w:r>
    </w:p>
    <w:p>
      <w:pPr>
        <w:pStyle w:val="4"/>
        <w:rPr>
          <w:rFonts w:hint="default" w:eastAsia="宋体"/>
          <w:color w:val="auto"/>
          <w:sz w:val="20"/>
          <w:szCs w:val="20"/>
          <w:lang w:val="en-US" w:eastAsia="zh-CN"/>
        </w:rPr>
      </w:pPr>
      <w:r>
        <w:rPr>
          <w:rFonts w:hint="eastAsia" w:eastAsia="宋体"/>
          <w:color w:val="auto"/>
          <w:sz w:val="20"/>
          <w:szCs w:val="20"/>
          <w:lang w:val="en-US" w:eastAsia="zh-CN"/>
        </w:rPr>
        <w:t>We calculate the Distance offset as above. For simplify, we can assume the Flight distance equals to Distance offset shown in Figure 1. Then we can conclude at least after how long BS needs to update the TAC, this time interval is shown in the last line of Table 1. Based on our analysis, such time interval is large enough, so we can conclude that not need any enhancement regarding to the 6 bits offset value TA. So not need to applying the enhancement in R17 NTN.</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Regarding to the legacy 6 bits TAC, according to the value of max TA update, no need to introduce additional enhancement due to such 6 bits indication is enough to consider ATG CPE moving.</w:t>
      </w:r>
    </w:p>
    <w:p>
      <w:pPr>
        <w:pStyle w:val="4"/>
        <w:rPr>
          <w:rFonts w:hint="eastAsia" w:eastAsia="宋体"/>
          <w:color w:val="auto"/>
          <w:sz w:val="20"/>
          <w:szCs w:val="20"/>
          <w:lang w:val="en-US" w:eastAsia="zh-CN"/>
        </w:rPr>
      </w:pPr>
      <w:r>
        <w:rPr>
          <w:rFonts w:hint="eastAsia" w:eastAsia="宋体"/>
          <w:color w:val="auto"/>
          <w:sz w:val="20"/>
          <w:szCs w:val="20"/>
          <w:lang w:val="en-US" w:eastAsia="zh-CN"/>
        </w:rPr>
        <w:t>For 12</w:t>
      </w:r>
      <w:r>
        <w:rPr>
          <w:rFonts w:hint="default" w:eastAsia="宋体"/>
          <w:color w:val="auto"/>
          <w:sz w:val="20"/>
          <w:szCs w:val="20"/>
          <w:lang w:val="en-US" w:eastAsia="zh-CN"/>
        </w:rPr>
        <w:t xml:space="preserve"> bits offset value </w:t>
      </w:r>
      <w:r>
        <w:rPr>
          <w:rFonts w:hint="eastAsia" w:eastAsia="宋体"/>
          <w:color w:val="auto"/>
          <w:sz w:val="20"/>
          <w:szCs w:val="20"/>
          <w:lang w:val="en-US" w:eastAsia="zh-CN"/>
        </w:rPr>
        <w:t>TA, which is applied in case of random access response or in an absolute timing advance command MAC CE.</w:t>
      </w:r>
    </w:p>
    <w:p>
      <w:pPr>
        <w:pStyle w:val="4"/>
        <w:rPr>
          <w:rFonts w:hint="default" w:eastAsia="宋体"/>
          <w:color w:val="auto"/>
          <w:sz w:val="20"/>
          <w:szCs w:val="20"/>
          <w:lang w:val="en-US" w:eastAsia="zh-CN"/>
        </w:rPr>
      </w:pPr>
      <m:oMathPara>
        <m:oMath>
          <m:r>
            <w:rPr>
              <w:rFonts w:ascii="Cambria Math" w:hAnsi="Cambria Math"/>
            </w:rPr>
            <m:t>TA=</m:t>
          </m:r>
          <m:f>
            <m:fPr>
              <m:ctrlPr>
                <w:rPr>
                  <w:rFonts w:ascii="Cambria Math" w:hAnsi="Cambria Math"/>
                  <w:i/>
                </w:rPr>
              </m:ctrlPr>
            </m:fPr>
            <m:num>
              <m:r>
                <w:rPr>
                  <w:rFonts w:ascii="Cambria Math" w:hAnsi="Cambria Math"/>
                </w:rPr>
                <m:t>TAC∙16∙64</m:t>
              </m:r>
              <m:ctrlPr>
                <w:rPr>
                  <w:rFonts w:ascii="Cambria Math" w:hAnsi="Cambria Math"/>
                  <w:i/>
                </w:rPr>
              </m:ctrlPr>
            </m:num>
            <m:den>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ctrlPr>
                <w:rPr>
                  <w:rFonts w:ascii="Cambria Math" w:hAnsi="Cambria Math"/>
                  <w:i/>
                </w:rPr>
              </m:ctrlPr>
            </m:den>
          </m:f>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eastAsiaTheme="minorEastAsia"/>
            </w:rPr>
            <m:t>,</m:t>
          </m:r>
        </m:oMath>
      </m:oMathPara>
    </w:p>
    <w:p>
      <w:pPr>
        <w:pStyle w:val="4"/>
        <w:rPr>
          <w:rFonts w:hint="eastAsia" w:eastAsia="宋体"/>
          <w:color w:val="auto"/>
          <w:sz w:val="20"/>
          <w:szCs w:val="20"/>
          <w:lang w:val="en-US" w:eastAsia="zh-CN"/>
        </w:rPr>
      </w:pPr>
      <w:r>
        <w:rPr>
          <w:rFonts w:hint="eastAsia" w:eastAsia="宋体"/>
          <w:color w:val="auto"/>
          <w:sz w:val="20"/>
          <w:szCs w:val="20"/>
          <w:lang w:val="en-US" w:eastAsia="zh-CN"/>
        </w:rPr>
        <w:t>Thus, the range of TA adjustment is:</w:t>
      </w:r>
    </w:p>
    <w:p>
      <w:pPr>
        <w:pStyle w:val="4"/>
        <w:jc w:val="center"/>
        <w:rPr>
          <w:rFonts w:hint="default" w:eastAsia="宋体"/>
          <w:color w:val="auto"/>
          <w:sz w:val="20"/>
          <w:szCs w:val="20"/>
          <w:lang w:val="en-US" w:eastAsia="zh-CN"/>
        </w:rPr>
      </w:pPr>
      <w:r>
        <w:rPr>
          <w:rFonts w:hint="eastAsia" w:eastAsia="宋体"/>
          <w:color w:val="auto"/>
          <w:sz w:val="20"/>
          <w:szCs w:val="20"/>
          <w:lang w:val="en-US" w:eastAsia="zh-CN"/>
        </w:rPr>
        <w:t>Table 2:</w:t>
      </w:r>
      <w:r>
        <w:rPr>
          <w:rFonts w:hint="eastAsia" w:eastAsia="宋体"/>
          <w:lang w:val="en-US" w:eastAsia="zh-CN"/>
        </w:rPr>
        <w:t xml:space="preserve"> The indication capability under 12 bits TAC</w:t>
      </w:r>
    </w:p>
    <w:tbl>
      <w:tblPr>
        <w:tblStyle w:val="17"/>
        <w:tblW w:w="7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
        <w:gridCol w:w="812"/>
        <w:gridCol w:w="1772"/>
        <w:gridCol w:w="1480"/>
        <w:gridCol w:w="2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5" w:type="dxa"/>
          </w:tcPr>
          <w:p>
            <w:pPr>
              <w:jc w:val="center"/>
              <w:rPr>
                <w:rFonts w:hint="eastAsia" w:cs="Times New Roman"/>
                <w:b w:val="0"/>
                <w:bCs/>
                <w:kern w:val="44"/>
                <w:sz w:val="21"/>
                <w:szCs w:val="21"/>
                <w:vertAlign w:val="baseline"/>
                <w:lang w:val="en-US" w:eastAsia="zh-CN" w:bidi="ar-SA"/>
              </w:rPr>
            </w:pPr>
            <m:oMathPara>
              <m:oMath>
                <m:r>
                  <w:rPr>
                    <w:rFonts w:ascii="Cambria Math" w:hAnsi="Cambria Math"/>
                    <w:sz w:val="21"/>
                    <w:szCs w:val="21"/>
                  </w:rPr>
                  <m:t>μ</m:t>
                </m:r>
              </m:oMath>
            </m:oMathPara>
          </w:p>
        </w:tc>
        <w:tc>
          <w:tcPr>
            <w:tcW w:w="812" w:type="dxa"/>
          </w:tcPr>
          <w:p>
            <w:pPr>
              <w:jc w:val="center"/>
              <w:rPr>
                <w:rFonts w:hint="eastAsia" w:cs="Times New Roman"/>
                <w:b w:val="0"/>
                <w:bCs/>
                <w:kern w:val="44"/>
                <w:sz w:val="21"/>
                <w:szCs w:val="21"/>
                <w:vertAlign w:val="baseline"/>
                <w:lang w:val="en-US" w:eastAsia="zh-CN" w:bidi="ar-SA"/>
              </w:rPr>
            </w:pPr>
            <w:r>
              <w:rPr>
                <w:rFonts w:hint="eastAsia" w:cs="Times New Roman"/>
                <w:b w:val="0"/>
                <w:bCs/>
                <w:kern w:val="44"/>
                <w:sz w:val="21"/>
                <w:szCs w:val="21"/>
                <w:vertAlign w:val="baseline"/>
                <w:lang w:val="en-US" w:eastAsia="zh-CN" w:bidi="ar-SA"/>
              </w:rPr>
              <w:t>SCS</w:t>
            </w:r>
          </w:p>
          <w:p>
            <w:pPr>
              <w:jc w:val="center"/>
              <w:rPr>
                <w:rFonts w:hint="default" w:cs="Times New Roman"/>
                <w:b w:val="0"/>
                <w:bCs/>
                <w:kern w:val="44"/>
                <w:sz w:val="21"/>
                <w:szCs w:val="21"/>
                <w:vertAlign w:val="baseline"/>
                <w:lang w:val="en-US" w:eastAsia="zh-CN" w:bidi="ar-SA"/>
              </w:rPr>
            </w:pPr>
            <w:r>
              <w:rPr>
                <w:rFonts w:hint="eastAsia" w:cs="Times New Roman"/>
                <w:b w:val="0"/>
                <w:bCs/>
                <w:kern w:val="44"/>
                <w:sz w:val="21"/>
                <w:szCs w:val="21"/>
                <w:vertAlign w:val="baseline"/>
                <w:lang w:val="en-US" w:eastAsia="zh-CN" w:bidi="ar-SA"/>
              </w:rPr>
              <w:t>(kHz)</w:t>
            </w:r>
          </w:p>
        </w:tc>
        <w:tc>
          <w:tcPr>
            <w:tcW w:w="1772" w:type="dxa"/>
          </w:tcPr>
          <w:p>
            <w:pPr>
              <w:jc w:val="center"/>
              <w:rPr>
                <w:rFonts w:hint="eastAsia" w:cs="Times New Roman"/>
                <w:b w:val="0"/>
                <w:bCs/>
                <w:kern w:val="44"/>
                <w:sz w:val="21"/>
                <w:szCs w:val="21"/>
                <w:vertAlign w:val="baseline"/>
                <w:lang w:val="en-US" w:eastAsia="zh-CN" w:bidi="ar-SA"/>
              </w:rPr>
            </w:pPr>
            <w:r>
              <w:rPr>
                <w:rFonts w:hint="eastAsia" w:cs="Times New Roman"/>
                <w:b w:val="0"/>
                <w:bCs/>
                <w:kern w:val="44"/>
                <w:sz w:val="21"/>
                <w:szCs w:val="21"/>
                <w:vertAlign w:val="baseline"/>
                <w:lang w:val="en-US" w:eastAsia="zh-CN" w:bidi="ar-SA"/>
              </w:rPr>
              <w:t>TA step</w:t>
            </w:r>
          </w:p>
          <w:p>
            <w:pPr>
              <w:jc w:val="center"/>
              <w:rPr>
                <w:rFonts w:ascii="Cambria Math" w:hAnsi="Cambria Math"/>
                <w:i w:val="0"/>
                <w:color w:val="1D41D5"/>
                <w:sz w:val="18"/>
                <w:szCs w:val="18"/>
              </w:rPr>
            </w:pPr>
            <w:r>
              <w:rPr>
                <w:rFonts w:hint="eastAsia"/>
                <w:color w:val="1D41D5"/>
                <w:sz w:val="18"/>
                <w:szCs w:val="18"/>
                <w:lang w:val="en-US" w:eastAsia="zh-CN"/>
              </w:rPr>
              <w:t>16*64*Tc/2^</w:t>
            </w:r>
            <m:oMath>
              <m:r>
                <w:rPr>
                  <w:rFonts w:ascii="Cambria Math" w:hAnsi="Cambria Math"/>
                  <w:color w:val="1D41D5"/>
                  <w:sz w:val="18"/>
                  <w:szCs w:val="18"/>
                </w:rPr>
                <m:t>μ</m:t>
              </m:r>
            </m:oMath>
          </w:p>
          <w:p>
            <w:pPr>
              <w:numPr>
                <w:ilvl w:val="0"/>
                <w:numId w:val="0"/>
              </w:numPr>
              <w:jc w:val="center"/>
              <w:rPr>
                <w:rFonts w:hint="default" w:ascii="Cambria Math" w:hAnsi="Cambria Math"/>
                <w:i w:val="0"/>
                <w:color w:val="1D41D5"/>
                <w:sz w:val="21"/>
                <w:szCs w:val="21"/>
                <w:lang w:val="en-US" w:eastAsia="zh-CN"/>
              </w:rPr>
            </w:pPr>
            <w:r>
              <w:rPr>
                <w:rFonts w:hint="eastAsia" w:cs="Times New Roman"/>
                <w:b w:val="0"/>
                <w:bCs/>
                <w:kern w:val="44"/>
                <w:sz w:val="21"/>
                <w:szCs w:val="21"/>
                <w:vertAlign w:val="baseline"/>
                <w:lang w:val="en-US" w:eastAsia="zh-CN" w:bidi="ar-SA"/>
              </w:rPr>
              <w:t>(ns)</w:t>
            </w:r>
          </w:p>
        </w:tc>
        <w:tc>
          <w:tcPr>
            <w:tcW w:w="1480" w:type="dxa"/>
          </w:tcPr>
          <w:p>
            <w:pPr>
              <w:numPr>
                <w:ilvl w:val="0"/>
                <w:numId w:val="0"/>
              </w:numPr>
              <w:jc w:val="center"/>
              <w:rPr>
                <w:rFonts w:hint="eastAsia"/>
                <w:color w:val="auto"/>
                <w:sz w:val="21"/>
                <w:szCs w:val="21"/>
                <w:lang w:val="en-US" w:eastAsia="zh-CN"/>
              </w:rPr>
            </w:pPr>
            <w:r>
              <w:rPr>
                <w:rFonts w:hint="eastAsia"/>
                <w:color w:val="auto"/>
                <w:sz w:val="21"/>
                <w:szCs w:val="21"/>
                <w:lang w:val="en-US" w:eastAsia="zh-CN"/>
              </w:rPr>
              <w:t>Max TA</w:t>
            </w:r>
          </w:p>
          <w:p>
            <w:pPr>
              <w:numPr>
                <w:ilvl w:val="0"/>
                <w:numId w:val="0"/>
              </w:numPr>
              <w:jc w:val="center"/>
              <w:rPr>
                <w:rFonts w:hint="default"/>
                <w:color w:val="auto"/>
                <w:sz w:val="21"/>
                <w:szCs w:val="21"/>
                <w:lang w:val="en-US" w:eastAsia="zh-CN"/>
              </w:rPr>
            </w:pPr>
            <w:r>
              <w:rPr>
                <w:rFonts w:hint="eastAsia"/>
                <w:color w:val="auto"/>
                <w:sz w:val="21"/>
                <w:szCs w:val="21"/>
                <w:lang w:val="en-US" w:eastAsia="zh-CN"/>
              </w:rPr>
              <w:t>(ms)</w:t>
            </w:r>
          </w:p>
        </w:tc>
        <w:tc>
          <w:tcPr>
            <w:tcW w:w="2831" w:type="dxa"/>
          </w:tcPr>
          <w:p>
            <w:pPr>
              <w:jc w:val="center"/>
              <w:rPr>
                <w:rFonts w:hint="default"/>
                <w:color w:val="auto"/>
                <w:sz w:val="21"/>
                <w:szCs w:val="21"/>
                <w:lang w:val="en-US" w:eastAsia="zh-CN"/>
              </w:rPr>
            </w:pPr>
            <w:r>
              <w:rPr>
                <w:rFonts w:hint="eastAsia"/>
                <w:color w:val="auto"/>
                <w:sz w:val="21"/>
                <w:szCs w:val="21"/>
                <w:lang w:val="en-US" w:eastAsia="zh-CN"/>
              </w:rPr>
              <w:t>Max one-trip distance between BS and CPE</w:t>
            </w:r>
          </w:p>
          <w:p>
            <w:pPr>
              <w:jc w:val="center"/>
              <w:rPr>
                <w:rFonts w:hint="default"/>
                <w:color w:val="auto"/>
                <w:sz w:val="21"/>
                <w:szCs w:val="21"/>
                <w:lang w:val="en-US" w:eastAsia="zh-CN"/>
              </w:rPr>
            </w:pPr>
            <w:r>
              <w:rPr>
                <w:rFonts w:hint="eastAsia"/>
                <w:color w:val="auto"/>
                <w:sz w:val="21"/>
                <w:szCs w:val="21"/>
                <w:lang w:val="en-US" w:eastAsia="zh-CN"/>
              </w:rPr>
              <w:t>(km)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5"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0</w:t>
            </w:r>
          </w:p>
        </w:tc>
        <w:tc>
          <w:tcPr>
            <w:tcW w:w="812"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15</w:t>
            </w:r>
          </w:p>
        </w:tc>
        <w:tc>
          <w:tcPr>
            <w:tcW w:w="1772"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568.83</w:t>
            </w:r>
          </w:p>
        </w:tc>
        <w:tc>
          <w:tcPr>
            <w:tcW w:w="1480"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2</w:t>
            </w:r>
          </w:p>
        </w:tc>
        <w:tc>
          <w:tcPr>
            <w:tcW w:w="2831"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5"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1</w:t>
            </w:r>
          </w:p>
        </w:tc>
        <w:tc>
          <w:tcPr>
            <w:tcW w:w="812"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30</w:t>
            </w:r>
          </w:p>
        </w:tc>
        <w:tc>
          <w:tcPr>
            <w:tcW w:w="1772"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284.42</w:t>
            </w:r>
          </w:p>
        </w:tc>
        <w:tc>
          <w:tcPr>
            <w:tcW w:w="1480" w:type="dxa"/>
            <w:vAlign w:val="top"/>
          </w:tcPr>
          <w:p>
            <w:pPr>
              <w:jc w:val="center"/>
              <w:rPr>
                <w:rFonts w:hint="eastAsia"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1</w:t>
            </w:r>
          </w:p>
        </w:tc>
        <w:tc>
          <w:tcPr>
            <w:tcW w:w="2831"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5"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2</w:t>
            </w:r>
          </w:p>
        </w:tc>
        <w:tc>
          <w:tcPr>
            <w:tcW w:w="812"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60</w:t>
            </w:r>
          </w:p>
        </w:tc>
        <w:tc>
          <w:tcPr>
            <w:tcW w:w="1772" w:type="dxa"/>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142.21</w:t>
            </w:r>
          </w:p>
        </w:tc>
        <w:tc>
          <w:tcPr>
            <w:tcW w:w="1480"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0.5</w:t>
            </w:r>
          </w:p>
        </w:tc>
        <w:tc>
          <w:tcPr>
            <w:tcW w:w="2831" w:type="dxa"/>
            <w:vAlign w:val="top"/>
          </w:tcPr>
          <w:p>
            <w:pPr>
              <w:jc w:val="center"/>
              <w:rPr>
                <w:rFonts w:hint="default" w:cs="Times New Roman"/>
                <w:b w:val="0"/>
                <w:bCs/>
                <w:kern w:val="44"/>
                <w:sz w:val="24"/>
                <w:szCs w:val="24"/>
                <w:vertAlign w:val="baseline"/>
                <w:lang w:val="en-US" w:eastAsia="zh-CN" w:bidi="ar-SA"/>
              </w:rPr>
            </w:pPr>
            <w:r>
              <w:rPr>
                <w:rFonts w:hint="eastAsia" w:cs="Times New Roman"/>
                <w:b w:val="0"/>
                <w:bCs/>
                <w:kern w:val="44"/>
                <w:sz w:val="24"/>
                <w:szCs w:val="24"/>
                <w:vertAlign w:val="baseline"/>
                <w:lang w:val="en-US" w:eastAsia="zh-CN" w:bidi="ar-SA"/>
              </w:rPr>
              <w:t>75</w:t>
            </w:r>
          </w:p>
        </w:tc>
      </w:tr>
    </w:tbl>
    <w:p>
      <w:pPr>
        <w:pStyle w:val="4"/>
        <w:rPr>
          <w:rFonts w:hint="eastAsia" w:eastAsia="宋体"/>
          <w:color w:val="auto"/>
          <w:sz w:val="20"/>
          <w:szCs w:val="20"/>
          <w:lang w:val="en-US" w:eastAsia="zh-CN"/>
        </w:rPr>
      </w:pPr>
      <w:r>
        <w:rPr>
          <w:rFonts w:hint="eastAsia" w:eastAsia="宋体"/>
          <w:color w:val="auto"/>
          <w:sz w:val="20"/>
          <w:szCs w:val="20"/>
          <w:lang w:val="en-US" w:eastAsia="zh-CN"/>
        </w:rPr>
        <w:t>So, combined with the observation of maximum distance between ATG CEP and BS, we have the following observation:</w:t>
      </w:r>
    </w:p>
    <w:p>
      <w:pPr>
        <w:pStyle w:val="4"/>
        <w:numPr>
          <w:ilvl w:val="0"/>
          <w:numId w:val="8"/>
        </w:numPr>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Under the assumption of 15kHz SCS, since the supported max one-trip distance between ATG CPE and BS is large enough, so no need to enhance, not any additional solution is necessary.</w:t>
      </w:r>
    </w:p>
    <w:p>
      <w:pPr>
        <w:pStyle w:val="4"/>
        <w:numPr>
          <w:ilvl w:val="0"/>
          <w:numId w:val="8"/>
        </w:numPr>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Under the assumption of 30kHz SCS, for different deployments, the conclusion is different. </w:t>
      </w:r>
    </w:p>
    <w:p>
      <w:pPr>
        <w:pStyle w:val="4"/>
        <w:numPr>
          <w:ilvl w:val="1"/>
          <w:numId w:val="8"/>
        </w:numPr>
        <w:ind w:left="84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Under the traditional TN deployment, since the supported max one-trip distance between ATG CPE and BS is large enough, so no need to enhance, not any additional solution is necessary.</w:t>
      </w:r>
    </w:p>
    <w:p>
      <w:pPr>
        <w:pStyle w:val="4"/>
        <w:numPr>
          <w:ilvl w:val="1"/>
          <w:numId w:val="8"/>
        </w:numPr>
        <w:ind w:left="84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Under the horizon beam coverage deployment, the supported max one-trip distance between ATG CPE and BS is not enough to cover the maximum distance between ATG CPE and BS, so some additional solution is necessary, e.g. introducing OL TA.</w:t>
      </w:r>
    </w:p>
    <w:p>
      <w:pPr>
        <w:pStyle w:val="4"/>
        <w:numPr>
          <w:ilvl w:val="0"/>
          <w:numId w:val="8"/>
        </w:numPr>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Under the assumption of 60kHz SCS, the supported max one-trip distance between ATG CPE and BS can not cover the maximum distance between ATG CPE and BS, no matter for each deployment, some additional solution is necessary, e.g. introducing OL TA.</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Regarding to the legacy 12 bits TAC, according to the value of max TA, the supported Max one-trip distance between BS and CPE can be identified. By comparing with the observed maximum distance between ATG CPE and BS under different deployments, the following are suggested:</w:t>
      </w:r>
    </w:p>
    <w:p>
      <w:pPr>
        <w:pStyle w:val="4"/>
        <w:numPr>
          <w:ilvl w:val="0"/>
          <w:numId w:val="8"/>
        </w:numPr>
        <w:ind w:left="420" w:leftChars="0" w:hanging="420" w:firstLineChars="0"/>
        <w:rPr>
          <w:rFonts w:hint="eastAsia" w:eastAsia="宋体"/>
          <w:b/>
          <w:bCs/>
          <w:color w:val="auto"/>
          <w:sz w:val="20"/>
          <w:szCs w:val="20"/>
          <w:lang w:val="en-US" w:eastAsia="zh-CN"/>
        </w:rPr>
      </w:pPr>
      <w:r>
        <w:rPr>
          <w:rFonts w:hint="eastAsia" w:eastAsia="宋体"/>
          <w:b/>
          <w:bCs/>
          <w:color w:val="auto"/>
          <w:sz w:val="20"/>
          <w:szCs w:val="20"/>
          <w:lang w:val="en-US" w:eastAsia="zh-CN"/>
        </w:rPr>
        <w:t>Under the assumption of 15kHz SCS, since the supported max one-trip distance between ATG CPE and BS is large enough, so no need to enhance, not any additional solution is necessary.</w:t>
      </w:r>
    </w:p>
    <w:p>
      <w:pPr>
        <w:pStyle w:val="4"/>
        <w:numPr>
          <w:ilvl w:val="0"/>
          <w:numId w:val="8"/>
        </w:numPr>
        <w:ind w:left="420" w:leftChars="0" w:hanging="420" w:firstLineChars="0"/>
        <w:rPr>
          <w:rFonts w:hint="eastAsia" w:eastAsia="宋体"/>
          <w:b/>
          <w:bCs/>
          <w:color w:val="auto"/>
          <w:sz w:val="20"/>
          <w:szCs w:val="20"/>
          <w:lang w:val="en-US" w:eastAsia="zh-CN"/>
        </w:rPr>
      </w:pPr>
      <w:r>
        <w:rPr>
          <w:rFonts w:hint="eastAsia" w:eastAsia="宋体"/>
          <w:b/>
          <w:bCs/>
          <w:color w:val="auto"/>
          <w:sz w:val="20"/>
          <w:szCs w:val="20"/>
          <w:lang w:val="en-US" w:eastAsia="zh-CN"/>
        </w:rPr>
        <w:t xml:space="preserve">Under the assumption of 30kHz SCS, for different deployments, the conclusion is different. </w:t>
      </w:r>
    </w:p>
    <w:p>
      <w:pPr>
        <w:pStyle w:val="4"/>
        <w:numPr>
          <w:ilvl w:val="1"/>
          <w:numId w:val="8"/>
        </w:numPr>
        <w:ind w:left="840" w:leftChars="0" w:hanging="420" w:firstLineChars="0"/>
        <w:rPr>
          <w:rFonts w:hint="eastAsia" w:eastAsia="宋体"/>
          <w:b/>
          <w:bCs/>
          <w:color w:val="auto"/>
          <w:sz w:val="20"/>
          <w:szCs w:val="20"/>
          <w:lang w:val="en-US" w:eastAsia="zh-CN"/>
        </w:rPr>
      </w:pPr>
      <w:r>
        <w:rPr>
          <w:rFonts w:hint="eastAsia" w:eastAsia="宋体"/>
          <w:b/>
          <w:bCs/>
          <w:color w:val="auto"/>
          <w:sz w:val="20"/>
          <w:szCs w:val="20"/>
          <w:lang w:val="en-US" w:eastAsia="zh-CN"/>
        </w:rPr>
        <w:t>Under the traditional TN deployment, since the supported max one-trip distance between ATG CPE and BS is large enough, so no need to enhance, not any additional solution is necessary.</w:t>
      </w:r>
    </w:p>
    <w:p>
      <w:pPr>
        <w:pStyle w:val="4"/>
        <w:numPr>
          <w:ilvl w:val="1"/>
          <w:numId w:val="8"/>
        </w:numPr>
        <w:ind w:left="840" w:leftChars="0" w:hanging="420" w:firstLineChars="0"/>
        <w:rPr>
          <w:rFonts w:hint="eastAsia" w:eastAsia="宋体"/>
          <w:b/>
          <w:bCs/>
          <w:color w:val="auto"/>
          <w:sz w:val="20"/>
          <w:szCs w:val="20"/>
          <w:lang w:val="en-US" w:eastAsia="zh-CN"/>
        </w:rPr>
      </w:pPr>
      <w:r>
        <w:rPr>
          <w:rFonts w:hint="eastAsia" w:eastAsia="宋体"/>
          <w:b/>
          <w:bCs/>
          <w:color w:val="auto"/>
          <w:sz w:val="20"/>
          <w:szCs w:val="20"/>
          <w:lang w:val="en-US" w:eastAsia="zh-CN"/>
        </w:rPr>
        <w:t>Under the horizon beam coverage deployment, the supported max one-trip distance between ATG CPE and BS is not enough to cover the maximum distance between ATG CPE and BS, so some additional solution is necessary, e.g. introducing OL TA.</w:t>
      </w:r>
    </w:p>
    <w:p>
      <w:pPr>
        <w:pStyle w:val="4"/>
        <w:numPr>
          <w:ilvl w:val="0"/>
          <w:numId w:val="8"/>
        </w:numPr>
        <w:ind w:left="420" w:leftChars="0" w:hanging="420" w:firstLineChars="0"/>
        <w:rPr>
          <w:rFonts w:hint="eastAsia" w:eastAsia="宋体"/>
          <w:b/>
          <w:bCs/>
          <w:color w:val="auto"/>
          <w:sz w:val="20"/>
          <w:szCs w:val="20"/>
          <w:lang w:val="en-US" w:eastAsia="zh-CN"/>
        </w:rPr>
      </w:pPr>
      <w:r>
        <w:rPr>
          <w:rFonts w:hint="eastAsia" w:eastAsia="宋体"/>
          <w:b/>
          <w:bCs/>
          <w:color w:val="auto"/>
          <w:sz w:val="20"/>
          <w:szCs w:val="20"/>
          <w:lang w:val="en-US" w:eastAsia="zh-CN"/>
        </w:rPr>
        <w:t>Under the assumption of 60kHz SCS, the supported max one-trip distance between ATG CPE and BS can not cover the maximum distance between ATG CPE and BS, no matter for each deployment, some additional solution is necessary, e.g. introducing OL TA.</w:t>
      </w:r>
    </w:p>
    <w:p>
      <w:pPr>
        <w:pStyle w:val="3"/>
        <w:numPr>
          <w:ilvl w:val="0"/>
          <w:numId w:val="0"/>
        </w:numPr>
        <w:bidi w:val="0"/>
        <w:ind w:leftChars="0"/>
        <w:rPr>
          <w:rFonts w:hint="eastAsia" w:eastAsia="宋体"/>
          <w:b/>
          <w:bCs/>
          <w:color w:val="auto"/>
          <w:sz w:val="20"/>
          <w:szCs w:val="20"/>
          <w:lang w:val="en-US" w:eastAsia="zh-CN"/>
        </w:rPr>
      </w:pPr>
      <w:r>
        <w:rPr>
          <w:rFonts w:hint="eastAsia"/>
          <w:lang w:val="en-US" w:eastAsia="zh-CN"/>
        </w:rPr>
        <w:t xml:space="preserve">2.2 Whether need to introduce the mechanism of </w:t>
      </w:r>
      <w:r>
        <w:rPr>
          <w:rFonts w:eastAsia="宋体" w:cs="Times New Roman"/>
          <w:sz w:val="20"/>
          <w:szCs w:val="20"/>
        </w:rPr>
        <w:t>K</w:t>
      </w:r>
      <w:r>
        <w:rPr>
          <w:rFonts w:eastAsia="宋体" w:cs="Times New Roman"/>
          <w:sz w:val="20"/>
          <w:szCs w:val="20"/>
          <w:vertAlign w:val="subscript"/>
        </w:rPr>
        <w:t>offset</w:t>
      </w:r>
      <w:r>
        <w:rPr>
          <w:rFonts w:hint="eastAsia"/>
          <w:lang w:val="en-US" w:eastAsia="zh-CN"/>
        </w:rPr>
        <w:t xml:space="preserve"> in ATG system</w:t>
      </w:r>
    </w:p>
    <w:p>
      <w:pPr>
        <w:pStyle w:val="4"/>
        <w:rPr>
          <w:rFonts w:hint="default" w:eastAsia="宋体"/>
          <w:color w:val="auto"/>
          <w:sz w:val="20"/>
          <w:szCs w:val="20"/>
          <w:lang w:val="en-US" w:eastAsia="zh-CN"/>
        </w:rPr>
      </w:pPr>
      <w:r>
        <w:rPr>
          <w:rFonts w:hint="eastAsia" w:eastAsia="宋体"/>
          <w:color w:val="auto"/>
          <w:sz w:val="20"/>
          <w:szCs w:val="20"/>
          <w:lang w:val="en-US" w:eastAsia="zh-CN"/>
        </w:rPr>
        <w:t xml:space="preserve">The mechanism </w:t>
      </w:r>
      <w:r>
        <w:rPr>
          <w:rFonts w:eastAsia="宋体" w:cs="Times New Roman"/>
          <w:sz w:val="20"/>
          <w:szCs w:val="20"/>
        </w:rPr>
        <w:t>K</w:t>
      </w:r>
      <w:r>
        <w:rPr>
          <w:rFonts w:eastAsia="宋体" w:cs="Times New Roman"/>
          <w:sz w:val="20"/>
          <w:szCs w:val="20"/>
          <w:vertAlign w:val="subscript"/>
        </w:rPr>
        <w:t>offset</w:t>
      </w:r>
      <w:r>
        <w:rPr>
          <w:rFonts w:hint="eastAsia" w:eastAsia="宋体"/>
          <w:color w:val="auto"/>
          <w:sz w:val="20"/>
          <w:szCs w:val="20"/>
          <w:lang w:val="en-US" w:eastAsia="zh-CN"/>
        </w:rPr>
        <w:t xml:space="preserve"> was introduced in R17 NTN aiming to avoid the out-of-order between DCI receiving the scheduled PUSCH transmission due to large RTT, </w:t>
      </w:r>
      <w:r>
        <w:rPr>
          <w:rFonts w:eastAsia="宋体" w:cs="Times New Roman"/>
          <w:sz w:val="20"/>
          <w:szCs w:val="20"/>
        </w:rPr>
        <w:t>K</w:t>
      </w:r>
      <w:r>
        <w:rPr>
          <w:rFonts w:eastAsia="宋体" w:cs="Times New Roman"/>
          <w:sz w:val="20"/>
          <w:szCs w:val="20"/>
          <w:vertAlign w:val="subscript"/>
        </w:rPr>
        <w:t>offset</w:t>
      </w:r>
      <w:r>
        <w:rPr>
          <w:rFonts w:hint="eastAsia" w:eastAsia="宋体"/>
          <w:color w:val="auto"/>
          <w:sz w:val="20"/>
          <w:szCs w:val="20"/>
          <w:lang w:val="en-US" w:eastAsia="zh-CN"/>
        </w:rPr>
        <w:t xml:space="preserve"> was introduced into NTN so that the timing line between DCI and scheduling PUSCH is no longer n+k, but n+k+</w:t>
      </w:r>
      <w:r>
        <w:rPr>
          <w:rFonts w:eastAsia="宋体" w:cs="Times New Roman"/>
          <w:sz w:val="20"/>
          <w:szCs w:val="20"/>
        </w:rPr>
        <w:t>K</w:t>
      </w:r>
      <w:r>
        <w:rPr>
          <w:rFonts w:eastAsia="宋体" w:cs="Times New Roman"/>
          <w:sz w:val="20"/>
          <w:szCs w:val="20"/>
          <w:vertAlign w:val="subscript"/>
        </w:rPr>
        <w:t>offset</w:t>
      </w:r>
      <w:r>
        <w:rPr>
          <w:rFonts w:hint="eastAsia" w:eastAsia="宋体" w:cs="Times New Roman"/>
          <w:sz w:val="20"/>
          <w:szCs w:val="20"/>
          <w:vertAlign w:val="subscript"/>
          <w:lang w:val="en-US" w:eastAsia="zh-CN"/>
        </w:rPr>
        <w:t xml:space="preserve"> </w:t>
      </w:r>
      <w:r>
        <w:rPr>
          <w:rFonts w:hint="eastAsia" w:eastAsia="宋体"/>
          <w:color w:val="auto"/>
          <w:sz w:val="20"/>
          <w:szCs w:val="20"/>
          <w:lang w:val="en-US" w:eastAsia="zh-CN"/>
        </w:rPr>
        <w:t>as shown in Figure 2.</w:t>
      </w:r>
    </w:p>
    <w:p>
      <w:pPr>
        <w:pStyle w:val="4"/>
        <w:rPr>
          <w:rFonts w:hint="default" w:eastAsia="宋体"/>
          <w:color w:val="auto"/>
          <w:sz w:val="20"/>
          <w:szCs w:val="20"/>
          <w:lang w:val="en-US" w:eastAsia="zh-CN"/>
        </w:rPr>
      </w:pPr>
      <w:r>
        <w:drawing>
          <wp:inline distT="0" distB="0" distL="114300" distR="114300">
            <wp:extent cx="5274310" cy="1423670"/>
            <wp:effectExtent l="0" t="0" r="13970" b="8890"/>
            <wp:docPr id="2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7"/>
                    <pic:cNvPicPr>
                      <a:picLocks noChangeAspect="1"/>
                    </pic:cNvPicPr>
                  </pic:nvPicPr>
                  <pic:blipFill>
                    <a:blip r:embed="rId6"/>
                    <a:stretch>
                      <a:fillRect/>
                    </a:stretch>
                  </pic:blipFill>
                  <pic:spPr>
                    <a:xfrm>
                      <a:off x="0" y="0"/>
                      <a:ext cx="5274310" cy="1423670"/>
                    </a:xfrm>
                    <a:prstGeom prst="rect">
                      <a:avLst/>
                    </a:prstGeom>
                    <a:noFill/>
                    <a:ln>
                      <a:noFill/>
                    </a:ln>
                  </pic:spPr>
                </pic:pic>
              </a:graphicData>
            </a:graphic>
          </wp:inline>
        </w:drawing>
      </w:r>
    </w:p>
    <w:p>
      <w:pPr>
        <w:pStyle w:val="4"/>
        <w:jc w:val="center"/>
        <w:rPr>
          <w:rFonts w:hint="default" w:eastAsia="宋体"/>
          <w:color w:val="auto"/>
          <w:sz w:val="20"/>
          <w:szCs w:val="20"/>
          <w:lang w:val="en-US" w:eastAsia="zh-CN"/>
        </w:rPr>
      </w:pPr>
      <w:r>
        <w:rPr>
          <w:rFonts w:hint="eastAsia" w:eastAsia="宋体"/>
          <w:color w:val="auto"/>
          <w:sz w:val="20"/>
          <w:szCs w:val="20"/>
          <w:lang w:val="en-US" w:eastAsia="zh-CN"/>
        </w:rPr>
        <w:t xml:space="preserve">Figure 2. The mechanism of </w:t>
      </w:r>
      <w:r>
        <w:rPr>
          <w:rFonts w:eastAsia="宋体" w:cs="Times New Roman"/>
          <w:sz w:val="20"/>
          <w:szCs w:val="20"/>
        </w:rPr>
        <w:t>K</w:t>
      </w:r>
      <w:r>
        <w:rPr>
          <w:rFonts w:eastAsia="宋体" w:cs="Times New Roman"/>
          <w:sz w:val="20"/>
          <w:szCs w:val="20"/>
          <w:vertAlign w:val="subscript"/>
        </w:rPr>
        <w:t>offset</w:t>
      </w:r>
      <w:r>
        <w:rPr>
          <w:rFonts w:hint="eastAsia" w:eastAsia="宋体" w:cs="Times New Roman"/>
          <w:sz w:val="20"/>
          <w:szCs w:val="20"/>
          <w:vertAlign w:val="subscript"/>
          <w:lang w:val="en-US" w:eastAsia="zh-CN"/>
        </w:rPr>
        <w:t xml:space="preserve"> </w:t>
      </w:r>
      <w:r>
        <w:rPr>
          <w:rFonts w:hint="eastAsia" w:eastAsia="宋体"/>
          <w:color w:val="auto"/>
          <w:sz w:val="20"/>
          <w:szCs w:val="20"/>
          <w:lang w:val="en-US" w:eastAsia="zh-CN"/>
        </w:rPr>
        <w:t>in R17 NTN</w:t>
      </w:r>
    </w:p>
    <w:p>
      <w:pPr>
        <w:pStyle w:val="4"/>
        <w:numPr>
          <w:ilvl w:val="0"/>
          <w:numId w:val="0"/>
        </w:numPr>
        <w:ind w:leftChars="0"/>
        <w:rPr>
          <w:rFonts w:hint="eastAsia" w:eastAsia="宋体"/>
          <w:lang w:val="en-US" w:eastAsia="zh-CN"/>
        </w:rPr>
      </w:pPr>
      <w:r>
        <w:rPr>
          <w:rFonts w:hint="eastAsia" w:eastAsia="宋体"/>
          <w:color w:val="auto"/>
          <w:sz w:val="20"/>
          <w:szCs w:val="20"/>
          <w:lang w:val="en-US" w:eastAsia="zh-CN"/>
        </w:rPr>
        <w:t xml:space="preserve">It has been specified in [4] that the </w:t>
      </w:r>
      <w:r>
        <w:t xml:space="preserve">UE shall adjust the timing of its uplink transmission timing at time slot </w:t>
      </w:r>
      <w:r>
        <w:rPr>
          <w:i/>
        </w:rPr>
        <w:t>n</w:t>
      </w:r>
      <w:r>
        <w:t>+</w:t>
      </w:r>
      <w:r>
        <w:rPr>
          <w:i/>
        </w:rPr>
        <w:t xml:space="preserve"> k+1</w:t>
      </w:r>
      <w:r>
        <w:t xml:space="preserve"> for a timing advance command received in time slot </w:t>
      </w:r>
      <w:r>
        <w:rPr>
          <w:i/>
        </w:rPr>
        <w:t>n</w:t>
      </w:r>
      <w:r>
        <w:t xml:space="preserve">, and the value of </w:t>
      </w:r>
      <w:r>
        <w:rPr>
          <w:i/>
        </w:rPr>
        <w:t>k</w:t>
      </w:r>
      <w:r>
        <w:t xml:space="preserve"> is defined in clause 4.2 in </w:t>
      </w:r>
      <w:r>
        <w:rPr>
          <w:rFonts w:hint="eastAsia" w:eastAsia="宋体"/>
          <w:lang w:val="en-US" w:eastAsia="zh-CN"/>
        </w:rPr>
        <w:t>[5] as below:</w:t>
      </w:r>
    </w:p>
    <w:p>
      <w:pPr>
        <w:pStyle w:val="4"/>
        <w:numPr>
          <w:ilvl w:val="0"/>
          <w:numId w:val="0"/>
        </w:numPr>
        <w:ind w:leftChars="0"/>
        <w:jc w:val="center"/>
        <w:rPr>
          <w:rFonts w:ascii="Cambria Math" w:hAnsi="Cambria Math"/>
          <w:i w:val="0"/>
        </w:rPr>
      </w:pPr>
      <m:oMathPara>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ctrlPr>
                    <w:rPr>
                      <w:rFonts w:ascii="Cambria Math" w:hAnsi="Cambria Math" w:cs="Calibri"/>
                      <w:sz w:val="18"/>
                    </w:rPr>
                  </m:ctrlPr>
                </m:e>
                <m:sub>
                  <m:r>
                    <m:rPr>
                      <m:sty m:val="p"/>
                    </m:rPr>
                    <w:rPr>
                      <w:rFonts w:ascii="Cambria Math" w:hAnsi="Cambria Math" w:cs="Calibri"/>
                      <w:sz w:val="18"/>
                    </w:rPr>
                    <m:t>slot</m:t>
                  </m:r>
                  <m:ctrlPr>
                    <w:rPr>
                      <w:rFonts w:ascii="Cambria Math" w:hAnsi="Cambria Math" w:cs="Calibri"/>
                      <w:sz w:val="18"/>
                    </w:rPr>
                  </m:ctrlPr>
                </m:sub>
                <m:sup>
                  <m:r>
                    <m:rPr>
                      <m:sty m:val="p"/>
                    </m:rPr>
                    <w:rPr>
                      <w:rFonts w:ascii="Cambria Math" w:hAnsi="Cambria Math" w:cs="Calibri"/>
                      <w:sz w:val="18"/>
                    </w:rPr>
                    <m:t xml:space="preserve">subframe,  </m:t>
                  </m:r>
                  <m:r>
                    <w:rPr>
                      <w:rFonts w:ascii="Cambria Math" w:hAnsi="Cambria Math" w:cs="Calibri"/>
                      <w:sz w:val="18"/>
                    </w:rPr>
                    <m:t>μ</m:t>
                  </m:r>
                  <m:ctrlPr>
                    <w:rPr>
                      <w:rFonts w:ascii="Cambria Math" w:hAnsi="Cambria Math" w:cs="Calibri"/>
                      <w:sz w:val="18"/>
                    </w:rPr>
                  </m:ctrlP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hAnsi="Cambria Math" w:eastAsia="DengXian"/>
                              <w:i/>
                              <w:lang w:eastAsia="zh-CN"/>
                            </w:rPr>
                          </m:ctrlPr>
                        </m:sSubPr>
                        <m:e>
                          <m:r>
                            <w:rPr>
                              <w:rFonts w:ascii="Cambria Math" w:hAnsi="Cambria Math" w:eastAsia="DengXian"/>
                              <w:lang w:eastAsia="zh-CN"/>
                            </w:rPr>
                            <m:t>N</m:t>
                          </m:r>
                          <m:ctrlPr>
                            <w:rPr>
                              <w:rFonts w:ascii="Cambria Math" w:hAnsi="Cambria Math" w:eastAsia="DengXian"/>
                              <w:i/>
                              <w:lang w:eastAsia="zh-CN"/>
                            </w:rPr>
                          </m:ctrlPr>
                        </m:e>
                        <m:sub>
                          <m:r>
                            <m:rPr>
                              <m:sty m:val="p"/>
                            </m:rPr>
                            <w:rPr>
                              <w:rFonts w:ascii="Cambria Math" w:hAnsi="Cambria Math" w:eastAsia="DengXian"/>
                              <w:lang w:eastAsia="zh-CN"/>
                            </w:rPr>
                            <m:t>T,1</m:t>
                          </m:r>
                          <m:ctrlPr>
                            <w:rPr>
                              <w:rFonts w:ascii="Cambria Math" w:hAnsi="Cambria Math" w:eastAsia="DengXian"/>
                              <w:i/>
                              <w:lang w:eastAsia="zh-CN"/>
                            </w:rPr>
                          </m:ctrlPr>
                        </m:sub>
                      </m:sSub>
                      <m:r>
                        <w:rPr>
                          <w:rFonts w:ascii="Cambria Math" w:hAnsi="Cambria Math" w:eastAsia="DengXian"/>
                          <w:lang w:eastAsia="zh-CN"/>
                        </w:rPr>
                        <m:t>+</m:t>
                      </m:r>
                      <m:sSub>
                        <m:sSubPr>
                          <m:ctrlPr>
                            <w:rPr>
                              <w:rFonts w:ascii="Cambria Math" w:hAnsi="Cambria Math" w:eastAsia="DengXian"/>
                              <w:i/>
                              <w:lang w:eastAsia="zh-CN"/>
                            </w:rPr>
                          </m:ctrlPr>
                        </m:sSubPr>
                        <m:e>
                          <m:r>
                            <w:rPr>
                              <w:rFonts w:ascii="Cambria Math" w:hAnsi="Cambria Math" w:eastAsia="DengXian"/>
                              <w:lang w:eastAsia="zh-CN"/>
                            </w:rPr>
                            <m:t>N</m:t>
                          </m:r>
                          <m:ctrlPr>
                            <w:rPr>
                              <w:rFonts w:ascii="Cambria Math" w:hAnsi="Cambria Math" w:eastAsia="DengXian"/>
                              <w:i/>
                              <w:lang w:eastAsia="zh-CN"/>
                            </w:rPr>
                          </m:ctrlPr>
                        </m:e>
                        <m:sub>
                          <m:r>
                            <m:rPr>
                              <m:sty m:val="p"/>
                            </m:rPr>
                            <w:rPr>
                              <w:rFonts w:ascii="Cambria Math" w:hAnsi="Cambria Math" w:eastAsia="DengXian"/>
                              <w:lang w:eastAsia="zh-CN"/>
                            </w:rPr>
                            <m:t>T,2</m:t>
                          </m:r>
                          <m:ctrlPr>
                            <w:rPr>
                              <w:rFonts w:ascii="Cambria Math" w:hAnsi="Cambria Math" w:eastAsia="DengXian"/>
                              <w:i/>
                              <w:lang w:eastAsia="zh-CN"/>
                            </w:rPr>
                          </m:ctrlPr>
                        </m:sub>
                      </m:sSub>
                      <m:r>
                        <w:rPr>
                          <w:rFonts w:ascii="Cambria Math" w:hAnsi="Cambria Math" w:eastAsia="DengXian"/>
                          <w:lang w:eastAsia="zh-CN"/>
                        </w:rPr>
                        <m:t>+</m:t>
                      </m:r>
                      <m:sSub>
                        <m:sSubPr>
                          <m:ctrlPr>
                            <w:rPr>
                              <w:rFonts w:ascii="Cambria Math" w:hAnsi="Cambria Math" w:eastAsia="DengXian"/>
                              <w:i/>
                              <w:lang w:eastAsia="zh-CN"/>
                            </w:rPr>
                          </m:ctrlPr>
                        </m:sSubPr>
                        <m:e>
                          <m:r>
                            <w:rPr>
                              <w:rFonts w:ascii="Cambria Math" w:hAnsi="Cambria Math" w:eastAsia="DengXian"/>
                              <w:lang w:eastAsia="zh-CN"/>
                            </w:rPr>
                            <m:t>N</m:t>
                          </m:r>
                          <m:ctrlPr>
                            <w:rPr>
                              <w:rFonts w:ascii="Cambria Math" w:hAnsi="Cambria Math" w:eastAsia="DengXian"/>
                              <w:i/>
                              <w:lang w:eastAsia="zh-CN"/>
                            </w:rPr>
                          </m:ctrlPr>
                        </m:e>
                        <m:sub>
                          <m:r>
                            <m:rPr>
                              <m:sty m:val="p"/>
                            </m:rPr>
                            <w:rPr>
                              <w:rFonts w:ascii="Cambria Math" w:hAnsi="Cambria Math" w:eastAsia="DengXian"/>
                              <w:lang w:eastAsia="zh-CN"/>
                            </w:rPr>
                            <m:t>TA,max</m:t>
                          </m:r>
                          <m:ctrlPr>
                            <w:rPr>
                              <w:rFonts w:ascii="Cambria Math" w:hAnsi="Cambria Math" w:eastAsia="DengXian"/>
                              <w:i/>
                              <w:lang w:eastAsia="zh-CN"/>
                            </w:rPr>
                          </m:ctrlPr>
                        </m:sub>
                      </m:sSub>
                      <m:r>
                        <w:rPr>
                          <w:rFonts w:ascii="Cambria Math" w:hAnsi="Cambria Math" w:eastAsia="DengXian"/>
                          <w:lang w:eastAsia="zh-CN"/>
                        </w:rPr>
                        <m:t>+0.5</m:t>
                      </m:r>
                      <m:ctrlPr>
                        <w:rPr>
                          <w:rFonts w:ascii="Cambria Math" w:hAnsi="Cambria Math" w:cs="Calibri"/>
                          <w:i/>
                          <w:sz w:val="18"/>
                        </w:rPr>
                      </m:ctrlPr>
                    </m:e>
                  </m:d>
                  <m:ctrlPr>
                    <w:rPr>
                      <w:rFonts w:ascii="Cambria Math" w:hAnsi="Cambria Math" w:cs="Calibri"/>
                      <w:sz w:val="18"/>
                    </w:rPr>
                  </m:ctrlPr>
                </m:num>
                <m:den>
                  <m:sSub>
                    <m:sSubPr>
                      <m:ctrlPr>
                        <w:rPr>
                          <w:rFonts w:ascii="Cambria Math" w:hAnsi="Cambria Math" w:eastAsia="DengXian"/>
                          <w:i/>
                          <w:lang w:eastAsia="zh-CN"/>
                        </w:rPr>
                      </m:ctrlPr>
                    </m:sSubPr>
                    <m:e>
                      <m:r>
                        <w:rPr>
                          <w:rFonts w:ascii="Cambria Math" w:hAnsi="Cambria Math" w:eastAsia="DengXian"/>
                          <w:lang w:eastAsia="zh-CN"/>
                        </w:rPr>
                        <m:t>T</m:t>
                      </m:r>
                      <m:ctrlPr>
                        <w:rPr>
                          <w:rFonts w:ascii="Cambria Math" w:hAnsi="Cambria Math" w:eastAsia="DengXian"/>
                          <w:i/>
                          <w:lang w:eastAsia="zh-CN"/>
                        </w:rPr>
                      </m:ctrlPr>
                    </m:e>
                    <m:sub>
                      <m:r>
                        <m:rPr>
                          <m:sty m:val="p"/>
                        </m:rPr>
                        <w:rPr>
                          <w:rFonts w:ascii="Cambria Math" w:hAnsi="Cambria Math" w:eastAsia="DengXian"/>
                          <w:lang w:eastAsia="zh-CN"/>
                        </w:rPr>
                        <m:t>sf</m:t>
                      </m:r>
                      <m:ctrlPr>
                        <w:rPr>
                          <w:rFonts w:ascii="Cambria Math" w:hAnsi="Cambria Math" w:eastAsia="DengXian"/>
                          <w:i/>
                          <w:lang w:eastAsia="zh-CN"/>
                        </w:rPr>
                      </m:ctrlPr>
                    </m:sub>
                  </m:sSub>
                  <m:ctrlPr>
                    <w:rPr>
                      <w:rFonts w:ascii="Cambria Math" w:hAnsi="Cambria Math" w:cs="Calibri"/>
                      <w:sz w:val="18"/>
                    </w:rPr>
                  </m:ctrlPr>
                </m:den>
              </m:f>
              <m:ctrlPr>
                <w:rPr>
                  <w:rFonts w:ascii="Cambria Math" w:hAnsi="Cambria Math"/>
                  <w:i/>
                </w:rPr>
              </m:ctrlPr>
            </m:e>
          </m:d>
        </m:oMath>
      </m:oMathPara>
    </w:p>
    <w:p>
      <w:pPr>
        <w:pStyle w:val="4"/>
        <w:numPr>
          <w:ilvl w:val="0"/>
          <w:numId w:val="0"/>
        </w:numPr>
        <w:ind w:leftChars="0"/>
        <w:jc w:val="both"/>
        <w:rPr>
          <w:rFonts w:hint="eastAsia" w:eastAsia="宋体"/>
          <w:color w:val="auto"/>
          <w:sz w:val="20"/>
          <w:szCs w:val="20"/>
          <w:lang w:val="en-US" w:eastAsia="zh-CN"/>
        </w:rPr>
      </w:pPr>
      <w:r>
        <w:rPr>
          <w:rFonts w:hint="eastAsia" w:ascii="Cambria Math" w:hAnsi="Cambria Math" w:eastAsia="宋体"/>
          <w:i w:val="0"/>
          <w:sz w:val="20"/>
          <w:szCs w:val="20"/>
          <w:lang w:val="en-US" w:eastAsia="zh-CN"/>
        </w:rPr>
        <w:t xml:space="preserve">If the principle of </w:t>
      </w:r>
      <w:r>
        <w:rPr>
          <w:rFonts w:hint="eastAsia" w:cs="Times New Roman"/>
          <w:b w:val="0"/>
          <w:bCs/>
          <w:color w:val="auto"/>
          <w:kern w:val="44"/>
          <w:sz w:val="20"/>
          <w:szCs w:val="20"/>
          <w:highlight w:val="none"/>
          <w:lang w:val="en-US" w:eastAsia="zh-CN" w:bidi="ar-SA"/>
        </w:rPr>
        <w:t>Min k &gt; Max TA</w:t>
      </w:r>
      <w:r>
        <w:rPr>
          <w:rFonts w:hint="eastAsia" w:cs="Times New Roman"/>
          <w:b w:val="0"/>
          <w:bCs/>
          <w:color w:val="auto"/>
          <w:kern w:val="44"/>
          <w:sz w:val="20"/>
          <w:szCs w:val="20"/>
          <w:lang w:val="en-US" w:eastAsia="zh-CN" w:bidi="ar-SA"/>
        </w:rPr>
        <w:t xml:space="preserve"> can be satisfied, then no need to introduce </w:t>
      </w:r>
      <w:r>
        <w:rPr>
          <w:rFonts w:eastAsia="宋体" w:cs="Times New Roman"/>
          <w:sz w:val="20"/>
          <w:szCs w:val="20"/>
        </w:rPr>
        <w:t>K</w:t>
      </w:r>
      <w:r>
        <w:rPr>
          <w:rFonts w:eastAsia="宋体" w:cs="Times New Roman"/>
          <w:sz w:val="20"/>
          <w:szCs w:val="20"/>
          <w:vertAlign w:val="subscript"/>
        </w:rPr>
        <w:t>offset</w:t>
      </w:r>
      <w:r>
        <w:rPr>
          <w:rFonts w:hint="eastAsia" w:eastAsia="宋体" w:cs="Times New Roman"/>
          <w:sz w:val="20"/>
          <w:szCs w:val="20"/>
          <w:vertAlign w:val="subscript"/>
          <w:lang w:val="en-US" w:eastAsia="zh-CN"/>
        </w:rPr>
        <w:t xml:space="preserve"> </w:t>
      </w:r>
      <w:r>
        <w:rPr>
          <w:rFonts w:hint="eastAsia" w:eastAsia="宋体"/>
          <w:color w:val="auto"/>
          <w:sz w:val="20"/>
          <w:szCs w:val="20"/>
          <w:lang w:val="en-US" w:eastAsia="zh-CN"/>
        </w:rPr>
        <w:t xml:space="preserve">, otherwise, </w:t>
      </w:r>
      <w:r>
        <w:rPr>
          <w:rFonts w:eastAsia="宋体" w:cs="Times New Roman"/>
          <w:sz w:val="20"/>
          <w:szCs w:val="20"/>
        </w:rPr>
        <w:t>K</w:t>
      </w:r>
      <w:r>
        <w:rPr>
          <w:rFonts w:eastAsia="宋体" w:cs="Times New Roman"/>
          <w:sz w:val="20"/>
          <w:szCs w:val="20"/>
          <w:vertAlign w:val="subscript"/>
        </w:rPr>
        <w:t>offset</w:t>
      </w:r>
      <w:r>
        <w:rPr>
          <w:rFonts w:hint="eastAsia" w:eastAsia="宋体" w:cs="Times New Roman"/>
          <w:sz w:val="20"/>
          <w:szCs w:val="20"/>
          <w:vertAlign w:val="subscript"/>
          <w:lang w:val="en-US" w:eastAsia="zh-CN"/>
        </w:rPr>
        <w:t xml:space="preserve"> </w:t>
      </w:r>
      <w:r>
        <w:rPr>
          <w:rFonts w:hint="eastAsia" w:eastAsia="宋体"/>
          <w:color w:val="auto"/>
          <w:sz w:val="20"/>
          <w:szCs w:val="20"/>
          <w:lang w:val="en-US" w:eastAsia="zh-CN"/>
        </w:rPr>
        <w:t>is needed. We have the following analysis:</w:t>
      </w:r>
    </w:p>
    <w:p>
      <w:pPr>
        <w:pStyle w:val="4"/>
        <w:jc w:val="center"/>
        <w:rPr>
          <w:rFonts w:hint="default" w:eastAsia="宋体"/>
          <w:color w:val="auto"/>
          <w:sz w:val="20"/>
          <w:szCs w:val="20"/>
          <w:lang w:val="en-US" w:eastAsia="zh-CN"/>
        </w:rPr>
      </w:pPr>
      <w:r>
        <w:rPr>
          <w:rFonts w:hint="eastAsia" w:eastAsia="宋体"/>
          <w:color w:val="auto"/>
          <w:sz w:val="20"/>
          <w:szCs w:val="20"/>
          <w:lang w:val="en-US" w:eastAsia="zh-CN"/>
        </w:rPr>
        <w:t>Table 3:</w:t>
      </w:r>
      <w:r>
        <w:rPr>
          <w:rFonts w:hint="eastAsia" w:eastAsia="宋体"/>
          <w:lang w:val="en-US" w:eastAsia="zh-CN"/>
        </w:rPr>
        <w:t xml:space="preserve"> The Min </w:t>
      </w:r>
      <w:r>
        <w:rPr>
          <w:rFonts w:eastAsia="宋体" w:cs="Times New Roman"/>
          <w:sz w:val="20"/>
          <w:szCs w:val="20"/>
        </w:rPr>
        <w:t>K</w:t>
      </w:r>
      <w:r>
        <w:rPr>
          <w:rFonts w:eastAsia="宋体" w:cs="Times New Roman"/>
          <w:sz w:val="20"/>
          <w:szCs w:val="20"/>
          <w:vertAlign w:val="subscript"/>
        </w:rPr>
        <w:t>offset</w:t>
      </w:r>
      <w:r>
        <w:rPr>
          <w:rFonts w:hint="eastAsia" w:eastAsia="宋体" w:cs="Times New Roman"/>
          <w:sz w:val="20"/>
          <w:szCs w:val="20"/>
          <w:vertAlign w:val="subscript"/>
          <w:lang w:val="en-US" w:eastAsia="zh-CN"/>
        </w:rPr>
        <w:t xml:space="preserve"> </w:t>
      </w:r>
      <w:r>
        <w:rPr>
          <w:rFonts w:hint="eastAsia" w:cs="Times New Roman"/>
          <w:b w:val="0"/>
          <w:bCs/>
          <w:color w:val="auto"/>
          <w:kern w:val="44"/>
          <w:sz w:val="20"/>
          <w:szCs w:val="20"/>
          <w:lang w:val="en-US" w:eastAsia="zh-CN" w:bidi="ar-SA"/>
        </w:rPr>
        <w:t>under different assumption of SCS</w:t>
      </w:r>
      <w:bookmarkStart w:id="3" w:name="_GoBack"/>
      <w:bookmarkEnd w:id="3"/>
    </w:p>
    <w:tbl>
      <w:tblPr>
        <w:tblStyle w:val="17"/>
        <w:tblW w:w="6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821"/>
        <w:gridCol w:w="1523"/>
        <w:gridCol w:w="850"/>
        <w:gridCol w:w="978"/>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Align w:val="top"/>
          </w:tcPr>
          <w:p>
            <w:pPr>
              <w:jc w:val="center"/>
              <w:rPr>
                <w:rFonts w:hint="eastAsia" w:ascii="Cambria Math" w:hAnsi="Cambria Math" w:eastAsia="宋体"/>
                <w:i w:val="0"/>
                <w:iCs/>
                <w:color w:val="auto"/>
                <w:sz w:val="21"/>
                <w:szCs w:val="21"/>
                <w:lang w:val="en-US" w:eastAsia="zh-CN"/>
              </w:rPr>
            </w:pPr>
            <m:oMathPara>
              <m:oMath>
                <m:r>
                  <w:rPr>
                    <w:rFonts w:ascii="Cambria Math" w:hAnsi="Cambria Math"/>
                    <w:color w:val="auto"/>
                    <w:sz w:val="21"/>
                    <w:szCs w:val="21"/>
                  </w:rPr>
                  <m:t>μ</m:t>
                </m:r>
              </m:oMath>
            </m:oMathPara>
          </w:p>
        </w:tc>
        <w:tc>
          <w:tcPr>
            <w:tcW w:w="821" w:type="dxa"/>
            <w:vAlign w:val="top"/>
          </w:tcPr>
          <w:p>
            <w:pPr>
              <w:jc w:val="center"/>
              <w:rPr>
                <w:rFonts w:hint="eastAsia" w:cs="Times New Roman"/>
                <w:b w:val="0"/>
                <w:bCs/>
                <w:color w:val="auto"/>
                <w:kern w:val="44"/>
                <w:sz w:val="21"/>
                <w:szCs w:val="21"/>
                <w:vertAlign w:val="baseline"/>
                <w:lang w:val="en-US" w:eastAsia="zh-CN" w:bidi="ar-SA"/>
              </w:rPr>
            </w:pPr>
            <w:r>
              <w:rPr>
                <w:rFonts w:hint="eastAsia" w:cs="Times New Roman"/>
                <w:b w:val="0"/>
                <w:bCs/>
                <w:color w:val="auto"/>
                <w:kern w:val="44"/>
                <w:sz w:val="21"/>
                <w:szCs w:val="21"/>
                <w:vertAlign w:val="baseline"/>
                <w:lang w:val="en-US" w:eastAsia="zh-CN" w:bidi="ar-SA"/>
              </w:rPr>
              <w:t>SCS</w:t>
            </w:r>
          </w:p>
          <w:p>
            <w:pPr>
              <w:jc w:val="center"/>
              <w:rPr>
                <w:rFonts w:ascii="Cambria Math" w:hAnsi="Cambria Math"/>
                <w:i/>
                <w:color w:val="auto"/>
                <w:sz w:val="21"/>
                <w:szCs w:val="21"/>
                <w:oMath/>
              </w:rPr>
            </w:pPr>
            <w:r>
              <w:rPr>
                <w:rFonts w:hint="eastAsia" w:cs="Times New Roman"/>
                <w:b w:val="0"/>
                <w:bCs/>
                <w:color w:val="auto"/>
                <w:kern w:val="44"/>
                <w:sz w:val="21"/>
                <w:szCs w:val="21"/>
                <w:vertAlign w:val="baseline"/>
                <w:lang w:val="en-US" w:eastAsia="zh-CN" w:bidi="ar-SA"/>
              </w:rPr>
              <w:t>(kHz)</w:t>
            </w:r>
          </w:p>
        </w:tc>
        <w:tc>
          <w:tcPr>
            <w:tcW w:w="1523" w:type="dxa"/>
            <w:vAlign w:val="top"/>
          </w:tcPr>
          <w:p>
            <w:pPr>
              <w:jc w:val="center"/>
              <w:rPr>
                <w:rFonts w:hint="eastAsia" w:ascii="Cambria Math" w:hAnsi="Cambria Math" w:eastAsia="宋体"/>
                <w:i w:val="0"/>
                <w:iCs/>
                <w:color w:val="auto"/>
                <w:sz w:val="21"/>
                <w:szCs w:val="21"/>
                <w:lang w:val="en-US" w:eastAsia="zh-CN"/>
              </w:rPr>
            </w:pPr>
            <m:oMath>
              <m:r>
                <m:rPr>
                  <m:sty m:val="p"/>
                </m:rPr>
                <w:rPr>
                  <w:rFonts w:hint="eastAsia" w:ascii="Cambria Math" w:hAnsi="Cambria Math" w:eastAsia="宋体"/>
                  <w:color w:val="auto"/>
                  <w:sz w:val="21"/>
                  <w:szCs w:val="21"/>
                  <w:lang w:val="en-US" w:eastAsia="zh-CN"/>
                </w:rPr>
                <m:t>M</m:t>
              </m:r>
            </m:oMath>
            <w:r>
              <w:rPr>
                <w:rFonts w:hint="eastAsia" w:ascii="Cambria Math" w:hAnsi="Cambria Math" w:eastAsia="宋体"/>
                <w:i w:val="0"/>
                <w:iCs/>
                <w:color w:val="auto"/>
                <w:sz w:val="21"/>
                <w:szCs w:val="21"/>
                <w:lang w:val="en-US" w:eastAsia="zh-CN"/>
              </w:rPr>
              <w:t>ax distance</w:t>
            </w:r>
          </w:p>
          <w:p>
            <w:pPr>
              <w:jc w:val="center"/>
              <w:rPr>
                <w:rFonts w:hint="default" w:ascii="Cambria Math" w:hAnsi="Cambria Math" w:eastAsia="宋体"/>
                <w:i w:val="0"/>
                <w:iCs/>
                <w:color w:val="auto"/>
                <w:sz w:val="21"/>
                <w:szCs w:val="21"/>
                <w:lang w:val="en-US" w:eastAsia="zh-CN"/>
              </w:rPr>
            </w:pPr>
            <w:r>
              <w:rPr>
                <w:rFonts w:hint="eastAsia" w:ascii="Cambria Math" w:hAnsi="Cambria Math" w:eastAsia="宋体"/>
                <w:i w:val="0"/>
                <w:iCs/>
                <w:color w:val="auto"/>
                <w:sz w:val="21"/>
                <w:szCs w:val="21"/>
                <w:lang w:val="en-US" w:eastAsia="zh-CN"/>
              </w:rPr>
              <w:t>(km)</w:t>
            </w:r>
          </w:p>
        </w:tc>
        <w:tc>
          <w:tcPr>
            <w:tcW w:w="850" w:type="dxa"/>
            <w:vAlign w:val="top"/>
          </w:tcPr>
          <w:p>
            <w:pPr>
              <w:bidi w:val="0"/>
              <w:jc w:val="center"/>
              <w:rPr>
                <w:rFonts w:hint="eastAsia"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Min k</w:t>
            </w:r>
          </w:p>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(slot)</w:t>
            </w:r>
          </w:p>
        </w:tc>
        <w:tc>
          <w:tcPr>
            <w:tcW w:w="978" w:type="dxa"/>
          </w:tcPr>
          <w:p>
            <w:pPr>
              <w:bidi w:val="0"/>
              <w:jc w:val="center"/>
              <w:rPr>
                <w:rFonts w:hint="eastAsia"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Max TA</w:t>
            </w:r>
          </w:p>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(slot)</w:t>
            </w:r>
          </w:p>
        </w:tc>
        <w:tc>
          <w:tcPr>
            <w:tcW w:w="1536" w:type="dxa"/>
          </w:tcPr>
          <w:p>
            <w:pPr>
              <w:bidi w:val="0"/>
              <w:jc w:val="center"/>
              <w:rPr>
                <w:rFonts w:eastAsia="宋体" w:cs="Times New Roman"/>
                <w:color w:val="auto"/>
                <w:sz w:val="20"/>
                <w:szCs w:val="20"/>
                <w:vertAlign w:val="subscript"/>
              </w:rPr>
            </w:pPr>
            <w:r>
              <w:rPr>
                <w:rFonts w:hint="eastAsia" w:cs="Times New Roman"/>
                <w:b w:val="0"/>
                <w:bCs/>
                <w:color w:val="auto"/>
                <w:kern w:val="44"/>
                <w:sz w:val="18"/>
                <w:szCs w:val="18"/>
                <w:vertAlign w:val="baseline"/>
                <w:lang w:val="en-US" w:eastAsia="zh-CN" w:bidi="ar-SA"/>
              </w:rPr>
              <w:t xml:space="preserve">Min </w:t>
            </w:r>
            <w:r>
              <w:rPr>
                <w:rFonts w:eastAsia="宋体" w:cs="Times New Roman"/>
                <w:color w:val="auto"/>
                <w:sz w:val="20"/>
                <w:szCs w:val="20"/>
              </w:rPr>
              <w:t>K</w:t>
            </w:r>
            <w:r>
              <w:rPr>
                <w:rFonts w:eastAsia="宋体" w:cs="Times New Roman"/>
                <w:color w:val="auto"/>
                <w:sz w:val="20"/>
                <w:szCs w:val="20"/>
                <w:vertAlign w:val="subscript"/>
              </w:rPr>
              <w:t>offset</w:t>
            </w:r>
          </w:p>
          <w:p>
            <w:pPr>
              <w:bidi w:val="0"/>
              <w:jc w:val="center"/>
              <w:rPr>
                <w:rFonts w:hint="default" w:eastAsia="宋体" w:cs="Times New Roman"/>
                <w:color w:val="auto"/>
                <w:sz w:val="20"/>
                <w:szCs w:val="20"/>
                <w:vertAlign w:val="subscript"/>
                <w:lang w:val="en-US" w:eastAsia="zh-CN"/>
              </w:rPr>
            </w:pPr>
            <w:r>
              <w:rPr>
                <w:rFonts w:hint="eastAsia" w:cs="Times New Roman"/>
                <w:b w:val="0"/>
                <w:bCs/>
                <w:color w:val="auto"/>
                <w:kern w:val="44"/>
                <w:sz w:val="18"/>
                <w:szCs w:val="18"/>
                <w:vertAlign w:val="baseline"/>
                <w:lang w:val="en-US" w:eastAsia="zh-CN" w:bidi="ar-SA"/>
              </w:rPr>
              <w:t>(slot)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restart"/>
            <w:shd w:val="clear" w:color="auto" w:fill="FEF2CC" w:themeFill="accent4"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cs="Times New Roman"/>
                <w:b w:val="0"/>
                <w:bCs/>
                <w:color w:val="auto"/>
                <w:kern w:val="44"/>
                <w:sz w:val="24"/>
                <w:szCs w:val="24"/>
                <w:vertAlign w:val="baseline"/>
                <w:lang w:val="en-US" w:eastAsia="zh-CN" w:bidi="ar-SA"/>
              </w:rPr>
              <w:t>0</w:t>
            </w:r>
          </w:p>
        </w:tc>
        <w:tc>
          <w:tcPr>
            <w:tcW w:w="821" w:type="dxa"/>
            <w:vMerge w:val="restart"/>
            <w:shd w:val="clear" w:color="auto" w:fill="FEF2CC" w:themeFill="accent4"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cs="Times New Roman"/>
                <w:b w:val="0"/>
                <w:bCs/>
                <w:color w:val="auto"/>
                <w:kern w:val="44"/>
                <w:sz w:val="24"/>
                <w:szCs w:val="24"/>
                <w:vertAlign w:val="baseline"/>
                <w:lang w:val="en-US" w:eastAsia="zh-CN" w:bidi="ar-SA"/>
              </w:rPr>
              <w:t>15</w:t>
            </w:r>
          </w:p>
        </w:tc>
        <w:tc>
          <w:tcPr>
            <w:tcW w:w="1523" w:type="dxa"/>
            <w:shd w:val="clear" w:color="auto" w:fill="FEF2CC" w:themeFill="accent4" w:themeFillTint="32"/>
            <w:vAlign w:val="top"/>
          </w:tcPr>
          <w:p>
            <w:pPr>
              <w:jc w:val="center"/>
              <w:rPr>
                <w:rFonts w:hint="default" w:ascii="Times New Roman" w:hAnsi="Times New Roman" w:eastAsia="宋体" w:cs="Times New Roman"/>
                <w:b w:val="0"/>
                <w:bCs/>
                <w:color w:val="auto"/>
                <w:kern w:val="44"/>
                <w:sz w:val="24"/>
                <w:szCs w:val="24"/>
                <w:vertAlign w:val="baseline"/>
                <w:lang w:val="en-US" w:eastAsia="zh-CN" w:bidi="ar-SA"/>
              </w:rPr>
            </w:pPr>
            <w:r>
              <w:rPr>
                <w:rFonts w:hint="eastAsia" w:eastAsia="宋体" w:cs="Times New Roman"/>
                <w:b w:val="0"/>
                <w:bCs/>
                <w:color w:val="auto"/>
                <w:kern w:val="44"/>
                <w:sz w:val="24"/>
                <w:szCs w:val="24"/>
                <w:vertAlign w:val="baseline"/>
                <w:lang w:val="en-US" w:eastAsia="zh-CN" w:bidi="ar-SA"/>
              </w:rPr>
              <w:t>115</w:t>
            </w:r>
          </w:p>
        </w:tc>
        <w:tc>
          <w:tcPr>
            <w:tcW w:w="850" w:type="dxa"/>
            <w:shd w:val="clear" w:color="auto" w:fill="FEF2CC" w:themeFill="accent4" w:themeFillTint="32"/>
            <w:vAlign w:val="top"/>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2.5</w:t>
            </w:r>
          </w:p>
        </w:tc>
        <w:tc>
          <w:tcPr>
            <w:tcW w:w="978" w:type="dxa"/>
            <w:shd w:val="clear" w:color="auto" w:fill="FEF2CC" w:themeFill="accent4"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1</w:t>
            </w:r>
          </w:p>
        </w:tc>
        <w:tc>
          <w:tcPr>
            <w:tcW w:w="1536" w:type="dxa"/>
            <w:shd w:val="clear" w:color="auto" w:fill="FEF2CC" w:themeFill="accent4"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FEF2CC" w:themeFill="accent4"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821" w:type="dxa"/>
            <w:vMerge w:val="continue"/>
            <w:shd w:val="clear" w:color="auto" w:fill="FEF2CC" w:themeFill="accent4"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1523" w:type="dxa"/>
            <w:shd w:val="clear" w:color="auto" w:fill="FEF2CC" w:themeFill="accent4" w:themeFillTint="32"/>
            <w:vAlign w:val="top"/>
          </w:tcPr>
          <w:p>
            <w:pPr>
              <w:jc w:val="center"/>
              <w:rPr>
                <w:rFonts w:hint="default" w:ascii="Times New Roman" w:hAnsi="Times New Roman" w:eastAsia="宋体" w:cs="Times New Roman"/>
                <w:b w:val="0"/>
                <w:bCs/>
                <w:color w:val="auto"/>
                <w:kern w:val="44"/>
                <w:sz w:val="24"/>
                <w:szCs w:val="24"/>
                <w:vertAlign w:val="baseline"/>
                <w:lang w:val="en-US" w:eastAsia="zh-CN" w:bidi="ar-SA"/>
              </w:rPr>
            </w:pPr>
            <w:r>
              <w:rPr>
                <w:rFonts w:hint="eastAsia" w:eastAsia="宋体" w:cs="Times New Roman"/>
                <w:b w:val="0"/>
                <w:bCs/>
                <w:color w:val="auto"/>
                <w:kern w:val="44"/>
                <w:sz w:val="24"/>
                <w:szCs w:val="24"/>
                <w:vertAlign w:val="baseline"/>
                <w:lang w:val="en-US" w:eastAsia="zh-CN" w:bidi="ar-SA"/>
              </w:rPr>
              <w:t>134</w:t>
            </w:r>
          </w:p>
        </w:tc>
        <w:tc>
          <w:tcPr>
            <w:tcW w:w="850" w:type="dxa"/>
            <w:shd w:val="clear" w:color="auto" w:fill="FEF2CC" w:themeFill="accent4" w:themeFillTint="32"/>
            <w:vAlign w:val="top"/>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2.5</w:t>
            </w:r>
          </w:p>
        </w:tc>
        <w:tc>
          <w:tcPr>
            <w:tcW w:w="978" w:type="dxa"/>
            <w:shd w:val="clear" w:color="auto" w:fill="FEF2CC" w:themeFill="accent4"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1</w:t>
            </w:r>
          </w:p>
        </w:tc>
        <w:tc>
          <w:tcPr>
            <w:tcW w:w="1536" w:type="dxa"/>
            <w:shd w:val="clear" w:color="auto" w:fill="FEF2CC" w:themeFill="accent4"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FEF2CC" w:themeFill="accent4"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821" w:type="dxa"/>
            <w:vMerge w:val="continue"/>
            <w:shd w:val="clear" w:color="auto" w:fill="FEF2CC" w:themeFill="accent4"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1523" w:type="dxa"/>
            <w:shd w:val="clear" w:color="auto" w:fill="FEF2CC" w:themeFill="accent4" w:themeFillTint="32"/>
            <w:vAlign w:val="top"/>
          </w:tcPr>
          <w:p>
            <w:pPr>
              <w:jc w:val="center"/>
              <w:rPr>
                <w:rFonts w:hint="default" w:ascii="Times New Roman" w:hAnsi="Times New Roman" w:eastAsia="宋体" w:cs="Times New Roman"/>
                <w:b w:val="0"/>
                <w:bCs/>
                <w:color w:val="auto"/>
                <w:kern w:val="44"/>
                <w:sz w:val="24"/>
                <w:szCs w:val="24"/>
                <w:vertAlign w:val="baseline"/>
                <w:lang w:val="en-US" w:eastAsia="zh-CN" w:bidi="ar-SA"/>
              </w:rPr>
            </w:pPr>
            <w:r>
              <w:rPr>
                <w:rFonts w:hint="eastAsia" w:eastAsia="宋体" w:cs="Times New Roman"/>
                <w:b w:val="0"/>
                <w:bCs/>
                <w:color w:val="auto"/>
                <w:kern w:val="44"/>
                <w:sz w:val="24"/>
                <w:szCs w:val="24"/>
                <w:vertAlign w:val="baseline"/>
                <w:lang w:val="en-US" w:eastAsia="zh-CN" w:bidi="ar-SA"/>
              </w:rPr>
              <w:t>220</w:t>
            </w:r>
          </w:p>
        </w:tc>
        <w:tc>
          <w:tcPr>
            <w:tcW w:w="850" w:type="dxa"/>
            <w:shd w:val="clear" w:color="auto" w:fill="FEF2CC" w:themeFill="accent4" w:themeFillTint="32"/>
            <w:vAlign w:val="top"/>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2.5</w:t>
            </w:r>
          </w:p>
        </w:tc>
        <w:tc>
          <w:tcPr>
            <w:tcW w:w="978" w:type="dxa"/>
            <w:shd w:val="clear" w:color="auto" w:fill="FEF2CC" w:themeFill="accent4"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2</w:t>
            </w:r>
          </w:p>
        </w:tc>
        <w:tc>
          <w:tcPr>
            <w:tcW w:w="1536" w:type="dxa"/>
            <w:shd w:val="clear" w:color="auto" w:fill="FEF2CC" w:themeFill="accent4"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FEF2CC" w:themeFill="accent4"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821" w:type="dxa"/>
            <w:vMerge w:val="continue"/>
            <w:shd w:val="clear" w:color="auto" w:fill="FEF2CC" w:themeFill="accent4"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1523" w:type="dxa"/>
            <w:shd w:val="clear" w:color="auto" w:fill="FEF2CC" w:themeFill="accent4" w:themeFillTint="32"/>
            <w:vAlign w:val="top"/>
          </w:tcPr>
          <w:p>
            <w:pPr>
              <w:jc w:val="center"/>
              <w:rPr>
                <w:rFonts w:hint="default" w:eastAsia="宋体" w:cs="Times New Roman"/>
                <w:b w:val="0"/>
                <w:bCs/>
                <w:color w:val="auto"/>
                <w:kern w:val="44"/>
                <w:sz w:val="24"/>
                <w:szCs w:val="24"/>
                <w:vertAlign w:val="baseline"/>
                <w:lang w:val="en-US" w:eastAsia="zh-CN" w:bidi="ar-SA"/>
              </w:rPr>
            </w:pPr>
            <w:r>
              <w:rPr>
                <w:rFonts w:hint="eastAsia" w:eastAsia="宋体" w:cs="Times New Roman"/>
                <w:b w:val="0"/>
                <w:bCs/>
                <w:color w:val="auto"/>
                <w:kern w:val="44"/>
                <w:sz w:val="24"/>
                <w:szCs w:val="24"/>
                <w:vertAlign w:val="baseline"/>
                <w:lang w:val="en-US" w:eastAsia="zh-CN" w:bidi="ar-SA"/>
              </w:rPr>
              <w:t>250</w:t>
            </w:r>
          </w:p>
        </w:tc>
        <w:tc>
          <w:tcPr>
            <w:tcW w:w="850" w:type="dxa"/>
            <w:shd w:val="clear" w:color="auto" w:fill="FEF2CC" w:themeFill="accent4" w:themeFillTint="32"/>
            <w:vAlign w:val="top"/>
          </w:tcPr>
          <w:p>
            <w:pPr>
              <w:bidi w:val="0"/>
              <w:jc w:val="center"/>
              <w:rPr>
                <w:rFonts w:hint="eastAsia"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2.5</w:t>
            </w:r>
          </w:p>
        </w:tc>
        <w:tc>
          <w:tcPr>
            <w:tcW w:w="978" w:type="dxa"/>
            <w:shd w:val="clear" w:color="auto" w:fill="FEF2CC" w:themeFill="accent4"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2</w:t>
            </w:r>
          </w:p>
        </w:tc>
        <w:tc>
          <w:tcPr>
            <w:tcW w:w="1536" w:type="dxa"/>
            <w:shd w:val="clear" w:color="auto" w:fill="FEF2CC" w:themeFill="accent4"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restart"/>
            <w:shd w:val="clear" w:color="auto" w:fill="FBE5D6" w:themeFill="accent2"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cs="Times New Roman"/>
                <w:b w:val="0"/>
                <w:bCs/>
                <w:color w:val="auto"/>
                <w:kern w:val="44"/>
                <w:sz w:val="24"/>
                <w:szCs w:val="24"/>
                <w:vertAlign w:val="baseline"/>
                <w:lang w:val="en-US" w:eastAsia="zh-CN" w:bidi="ar-SA"/>
              </w:rPr>
              <w:t>1</w:t>
            </w:r>
          </w:p>
        </w:tc>
        <w:tc>
          <w:tcPr>
            <w:tcW w:w="821" w:type="dxa"/>
            <w:vMerge w:val="restart"/>
            <w:shd w:val="clear" w:color="auto" w:fill="FBE5D6" w:themeFill="accent2"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cs="Times New Roman"/>
                <w:b w:val="0"/>
                <w:bCs/>
                <w:color w:val="auto"/>
                <w:kern w:val="44"/>
                <w:sz w:val="24"/>
                <w:szCs w:val="24"/>
                <w:vertAlign w:val="baseline"/>
                <w:lang w:val="en-US" w:eastAsia="zh-CN" w:bidi="ar-SA"/>
              </w:rPr>
              <w:t>30</w:t>
            </w:r>
          </w:p>
        </w:tc>
        <w:tc>
          <w:tcPr>
            <w:tcW w:w="1523" w:type="dxa"/>
            <w:shd w:val="clear" w:color="auto" w:fill="FBE5D6" w:themeFill="accent2"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eastAsia="宋体" w:cs="Times New Roman"/>
                <w:b w:val="0"/>
                <w:bCs/>
                <w:color w:val="auto"/>
                <w:kern w:val="44"/>
                <w:sz w:val="24"/>
                <w:szCs w:val="24"/>
                <w:vertAlign w:val="baseline"/>
                <w:lang w:val="en-US" w:eastAsia="zh-CN" w:bidi="ar-SA"/>
              </w:rPr>
              <w:t>115</w:t>
            </w:r>
          </w:p>
        </w:tc>
        <w:tc>
          <w:tcPr>
            <w:tcW w:w="850" w:type="dxa"/>
            <w:shd w:val="clear" w:color="auto" w:fill="FBE5D6" w:themeFill="accent2" w:themeFillTint="32"/>
            <w:vAlign w:val="top"/>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3</w:t>
            </w:r>
          </w:p>
        </w:tc>
        <w:tc>
          <w:tcPr>
            <w:tcW w:w="978" w:type="dxa"/>
            <w:shd w:val="clear" w:color="auto" w:fill="FBE5D6" w:themeFill="accent2"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2</w:t>
            </w:r>
          </w:p>
        </w:tc>
        <w:tc>
          <w:tcPr>
            <w:tcW w:w="1536" w:type="dxa"/>
            <w:shd w:val="clear" w:color="auto" w:fill="FBE5D6" w:themeFill="accent2"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FBE5D6" w:themeFill="accent2"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821" w:type="dxa"/>
            <w:vMerge w:val="continue"/>
            <w:shd w:val="clear" w:color="auto" w:fill="FBE5D6" w:themeFill="accent2"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1523" w:type="dxa"/>
            <w:shd w:val="clear" w:color="auto" w:fill="FBE5D6" w:themeFill="accent2"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eastAsia="宋体" w:cs="Times New Roman"/>
                <w:b w:val="0"/>
                <w:bCs/>
                <w:color w:val="auto"/>
                <w:kern w:val="44"/>
                <w:sz w:val="24"/>
                <w:szCs w:val="24"/>
                <w:vertAlign w:val="baseline"/>
                <w:lang w:val="en-US" w:eastAsia="zh-CN" w:bidi="ar-SA"/>
              </w:rPr>
              <w:t>134</w:t>
            </w:r>
          </w:p>
        </w:tc>
        <w:tc>
          <w:tcPr>
            <w:tcW w:w="850" w:type="dxa"/>
            <w:shd w:val="clear" w:color="auto" w:fill="FBE5D6" w:themeFill="accent2" w:themeFillTint="32"/>
            <w:vAlign w:val="top"/>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3</w:t>
            </w:r>
          </w:p>
        </w:tc>
        <w:tc>
          <w:tcPr>
            <w:tcW w:w="978" w:type="dxa"/>
            <w:shd w:val="clear" w:color="auto" w:fill="FBE5D6" w:themeFill="accent2"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2</w:t>
            </w:r>
          </w:p>
        </w:tc>
        <w:tc>
          <w:tcPr>
            <w:tcW w:w="1536" w:type="dxa"/>
            <w:shd w:val="clear" w:color="auto" w:fill="FBE5D6" w:themeFill="accent2"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FBE5D6" w:themeFill="accent2"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821" w:type="dxa"/>
            <w:vMerge w:val="continue"/>
            <w:shd w:val="clear" w:color="auto" w:fill="FBE5D6" w:themeFill="accent2"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1523" w:type="dxa"/>
            <w:shd w:val="clear" w:color="auto" w:fill="FBE5D6" w:themeFill="accent2"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eastAsia="宋体" w:cs="Times New Roman"/>
                <w:b w:val="0"/>
                <w:bCs/>
                <w:color w:val="auto"/>
                <w:kern w:val="44"/>
                <w:sz w:val="24"/>
                <w:szCs w:val="24"/>
                <w:vertAlign w:val="baseline"/>
                <w:lang w:val="en-US" w:eastAsia="zh-CN" w:bidi="ar-SA"/>
              </w:rPr>
              <w:t>220</w:t>
            </w:r>
          </w:p>
        </w:tc>
        <w:tc>
          <w:tcPr>
            <w:tcW w:w="850" w:type="dxa"/>
            <w:shd w:val="clear" w:color="auto" w:fill="FBE5D6" w:themeFill="accent2" w:themeFillTint="32"/>
            <w:vAlign w:val="top"/>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3</w:t>
            </w:r>
          </w:p>
        </w:tc>
        <w:tc>
          <w:tcPr>
            <w:tcW w:w="978" w:type="dxa"/>
            <w:shd w:val="clear" w:color="auto" w:fill="FBE5D6" w:themeFill="accent2"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3</w:t>
            </w:r>
          </w:p>
        </w:tc>
        <w:tc>
          <w:tcPr>
            <w:tcW w:w="1536" w:type="dxa"/>
            <w:shd w:val="clear" w:color="auto" w:fill="FBE5D6" w:themeFill="accent2"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FBE5D6" w:themeFill="accent2"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821" w:type="dxa"/>
            <w:vMerge w:val="continue"/>
            <w:shd w:val="clear" w:color="auto" w:fill="FBE5D6" w:themeFill="accent2"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1523" w:type="dxa"/>
            <w:shd w:val="clear" w:color="auto" w:fill="FBE5D6" w:themeFill="accent2"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eastAsia="宋体" w:cs="Times New Roman"/>
                <w:b w:val="0"/>
                <w:bCs/>
                <w:color w:val="auto"/>
                <w:kern w:val="44"/>
                <w:sz w:val="24"/>
                <w:szCs w:val="24"/>
                <w:vertAlign w:val="baseline"/>
                <w:lang w:val="en-US" w:eastAsia="zh-CN" w:bidi="ar-SA"/>
              </w:rPr>
              <w:t>250</w:t>
            </w:r>
          </w:p>
        </w:tc>
        <w:tc>
          <w:tcPr>
            <w:tcW w:w="850" w:type="dxa"/>
            <w:shd w:val="clear" w:color="auto" w:fill="FBE5D6" w:themeFill="accent2" w:themeFillTint="32"/>
            <w:vAlign w:val="top"/>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3</w:t>
            </w:r>
          </w:p>
        </w:tc>
        <w:tc>
          <w:tcPr>
            <w:tcW w:w="978" w:type="dxa"/>
            <w:shd w:val="clear" w:color="auto" w:fill="FBE5D6" w:themeFill="accent2"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4</w:t>
            </w:r>
          </w:p>
        </w:tc>
        <w:tc>
          <w:tcPr>
            <w:tcW w:w="1536" w:type="dxa"/>
            <w:shd w:val="clear" w:color="auto" w:fill="FBE5D6" w:themeFill="accent2"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restart"/>
            <w:shd w:val="clear" w:color="auto" w:fill="E2EFDA" w:themeFill="accent6"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cs="Times New Roman"/>
                <w:b w:val="0"/>
                <w:bCs/>
                <w:color w:val="auto"/>
                <w:kern w:val="44"/>
                <w:sz w:val="24"/>
                <w:szCs w:val="24"/>
                <w:vertAlign w:val="baseline"/>
                <w:lang w:val="en-US" w:eastAsia="zh-CN" w:bidi="ar-SA"/>
              </w:rPr>
              <w:t>2</w:t>
            </w:r>
          </w:p>
        </w:tc>
        <w:tc>
          <w:tcPr>
            <w:tcW w:w="821" w:type="dxa"/>
            <w:vMerge w:val="restart"/>
            <w:shd w:val="clear" w:color="auto" w:fill="E2EFDA" w:themeFill="accent6"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cs="Times New Roman"/>
                <w:b w:val="0"/>
                <w:bCs/>
                <w:color w:val="auto"/>
                <w:kern w:val="44"/>
                <w:sz w:val="24"/>
                <w:szCs w:val="24"/>
                <w:vertAlign w:val="baseline"/>
                <w:lang w:val="en-US" w:eastAsia="zh-CN" w:bidi="ar-SA"/>
              </w:rPr>
              <w:t>60</w:t>
            </w:r>
          </w:p>
        </w:tc>
        <w:tc>
          <w:tcPr>
            <w:tcW w:w="1523" w:type="dxa"/>
            <w:shd w:val="clear" w:color="auto" w:fill="E2EFDA" w:themeFill="accent6"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eastAsia="宋体" w:cs="Times New Roman"/>
                <w:b w:val="0"/>
                <w:bCs/>
                <w:color w:val="auto"/>
                <w:kern w:val="44"/>
                <w:sz w:val="24"/>
                <w:szCs w:val="24"/>
                <w:vertAlign w:val="baseline"/>
                <w:lang w:val="en-US" w:eastAsia="zh-CN" w:bidi="ar-SA"/>
              </w:rPr>
              <w:t>115</w:t>
            </w:r>
          </w:p>
        </w:tc>
        <w:tc>
          <w:tcPr>
            <w:tcW w:w="850" w:type="dxa"/>
            <w:shd w:val="clear" w:color="auto" w:fill="E2EFDA" w:themeFill="accent6" w:themeFillTint="32"/>
            <w:vAlign w:val="top"/>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4</w:t>
            </w:r>
          </w:p>
        </w:tc>
        <w:tc>
          <w:tcPr>
            <w:tcW w:w="978" w:type="dxa"/>
            <w:shd w:val="clear" w:color="auto" w:fill="E2EFDA" w:themeFill="accent6"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4</w:t>
            </w:r>
          </w:p>
        </w:tc>
        <w:tc>
          <w:tcPr>
            <w:tcW w:w="1536" w:type="dxa"/>
            <w:shd w:val="clear" w:color="auto" w:fill="E2EFDA" w:themeFill="accent6"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E2EFDA" w:themeFill="accent6"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821" w:type="dxa"/>
            <w:vMerge w:val="continue"/>
            <w:shd w:val="clear" w:color="auto" w:fill="E2EFDA" w:themeFill="accent6"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1523" w:type="dxa"/>
            <w:shd w:val="clear" w:color="auto" w:fill="E2EFDA" w:themeFill="accent6"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eastAsia="宋体" w:cs="Times New Roman"/>
                <w:b w:val="0"/>
                <w:bCs/>
                <w:color w:val="auto"/>
                <w:kern w:val="44"/>
                <w:sz w:val="24"/>
                <w:szCs w:val="24"/>
                <w:vertAlign w:val="baseline"/>
                <w:lang w:val="en-US" w:eastAsia="zh-CN" w:bidi="ar-SA"/>
              </w:rPr>
              <w:t>134</w:t>
            </w:r>
          </w:p>
        </w:tc>
        <w:tc>
          <w:tcPr>
            <w:tcW w:w="850" w:type="dxa"/>
            <w:shd w:val="clear" w:color="auto" w:fill="E2EFDA" w:themeFill="accent6" w:themeFillTint="32"/>
            <w:vAlign w:val="top"/>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4</w:t>
            </w:r>
          </w:p>
        </w:tc>
        <w:tc>
          <w:tcPr>
            <w:tcW w:w="978" w:type="dxa"/>
            <w:shd w:val="clear" w:color="auto" w:fill="E2EFDA" w:themeFill="accent6"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4</w:t>
            </w:r>
          </w:p>
        </w:tc>
        <w:tc>
          <w:tcPr>
            <w:tcW w:w="1536" w:type="dxa"/>
            <w:shd w:val="clear" w:color="auto" w:fill="E2EFDA" w:themeFill="accent6"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E2EFDA" w:themeFill="accent6"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821" w:type="dxa"/>
            <w:vMerge w:val="continue"/>
            <w:shd w:val="clear" w:color="auto" w:fill="E2EFDA" w:themeFill="accent6"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1523" w:type="dxa"/>
            <w:shd w:val="clear" w:color="auto" w:fill="E2EFDA" w:themeFill="accent6"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eastAsia="宋体" w:cs="Times New Roman"/>
                <w:b w:val="0"/>
                <w:bCs/>
                <w:color w:val="auto"/>
                <w:kern w:val="44"/>
                <w:sz w:val="24"/>
                <w:szCs w:val="24"/>
                <w:vertAlign w:val="baseline"/>
                <w:lang w:val="en-US" w:eastAsia="zh-CN" w:bidi="ar-SA"/>
              </w:rPr>
              <w:t>220</w:t>
            </w:r>
          </w:p>
        </w:tc>
        <w:tc>
          <w:tcPr>
            <w:tcW w:w="850" w:type="dxa"/>
            <w:shd w:val="clear" w:color="auto" w:fill="E2EFDA" w:themeFill="accent6" w:themeFillTint="32"/>
            <w:vAlign w:val="top"/>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4</w:t>
            </w:r>
          </w:p>
        </w:tc>
        <w:tc>
          <w:tcPr>
            <w:tcW w:w="978" w:type="dxa"/>
            <w:shd w:val="clear" w:color="auto" w:fill="E2EFDA" w:themeFill="accent6"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6</w:t>
            </w:r>
          </w:p>
        </w:tc>
        <w:tc>
          <w:tcPr>
            <w:tcW w:w="1536" w:type="dxa"/>
            <w:shd w:val="clear" w:color="auto" w:fill="E2EFDA" w:themeFill="accent6"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E2EFDA" w:themeFill="accent6"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821" w:type="dxa"/>
            <w:vMerge w:val="continue"/>
            <w:shd w:val="clear" w:color="auto" w:fill="E2EFDA" w:themeFill="accent6" w:themeFillTint="32"/>
            <w:vAlign w:val="top"/>
          </w:tcPr>
          <w:p>
            <w:pPr>
              <w:jc w:val="center"/>
              <w:rPr>
                <w:rFonts w:hint="eastAsia" w:eastAsia="宋体" w:cs="Times New Roman"/>
                <w:b w:val="0"/>
                <w:bCs/>
                <w:color w:val="auto"/>
                <w:kern w:val="44"/>
                <w:sz w:val="24"/>
                <w:szCs w:val="24"/>
                <w:vertAlign w:val="baseline"/>
                <w:lang w:val="en-US" w:eastAsia="zh-CN" w:bidi="ar-SA"/>
              </w:rPr>
            </w:pPr>
          </w:p>
        </w:tc>
        <w:tc>
          <w:tcPr>
            <w:tcW w:w="1523" w:type="dxa"/>
            <w:shd w:val="clear" w:color="auto" w:fill="E2EFDA" w:themeFill="accent6" w:themeFillTint="32"/>
            <w:vAlign w:val="top"/>
          </w:tcPr>
          <w:p>
            <w:pPr>
              <w:jc w:val="center"/>
              <w:rPr>
                <w:rFonts w:hint="eastAsia" w:eastAsia="宋体" w:cs="Times New Roman"/>
                <w:b w:val="0"/>
                <w:bCs/>
                <w:color w:val="auto"/>
                <w:kern w:val="44"/>
                <w:sz w:val="24"/>
                <w:szCs w:val="24"/>
                <w:vertAlign w:val="baseline"/>
                <w:lang w:val="en-US" w:eastAsia="zh-CN" w:bidi="ar-SA"/>
              </w:rPr>
            </w:pPr>
            <w:r>
              <w:rPr>
                <w:rFonts w:hint="eastAsia" w:eastAsia="宋体" w:cs="Times New Roman"/>
                <w:b w:val="0"/>
                <w:bCs/>
                <w:color w:val="auto"/>
                <w:kern w:val="44"/>
                <w:sz w:val="24"/>
                <w:szCs w:val="24"/>
                <w:vertAlign w:val="baseline"/>
                <w:lang w:val="en-US" w:eastAsia="zh-CN" w:bidi="ar-SA"/>
              </w:rPr>
              <w:t>250</w:t>
            </w:r>
          </w:p>
        </w:tc>
        <w:tc>
          <w:tcPr>
            <w:tcW w:w="850" w:type="dxa"/>
            <w:shd w:val="clear" w:color="auto" w:fill="E2EFDA" w:themeFill="accent6" w:themeFillTint="32"/>
            <w:vAlign w:val="top"/>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4</w:t>
            </w:r>
          </w:p>
        </w:tc>
        <w:tc>
          <w:tcPr>
            <w:tcW w:w="978" w:type="dxa"/>
            <w:shd w:val="clear" w:color="auto" w:fill="E2EFDA" w:themeFill="accent6"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7</w:t>
            </w:r>
          </w:p>
        </w:tc>
        <w:tc>
          <w:tcPr>
            <w:tcW w:w="1536" w:type="dxa"/>
            <w:shd w:val="clear" w:color="auto" w:fill="E2EFDA" w:themeFill="accent6" w:themeFillTint="32"/>
          </w:tcPr>
          <w:p>
            <w:pPr>
              <w:bidi w:val="0"/>
              <w:jc w:val="center"/>
              <w:rPr>
                <w:rFonts w:hint="default" w:cs="Times New Roman"/>
                <w:b w:val="0"/>
                <w:bCs/>
                <w:color w:val="auto"/>
                <w:kern w:val="44"/>
                <w:sz w:val="18"/>
                <w:szCs w:val="18"/>
                <w:vertAlign w:val="baseline"/>
                <w:lang w:val="en-US" w:eastAsia="zh-CN" w:bidi="ar-SA"/>
              </w:rPr>
            </w:pPr>
            <w:r>
              <w:rPr>
                <w:rFonts w:hint="eastAsia" w:cs="Times New Roman"/>
                <w:b w:val="0"/>
                <w:bCs/>
                <w:color w:val="auto"/>
                <w:kern w:val="44"/>
                <w:sz w:val="18"/>
                <w:szCs w:val="18"/>
                <w:vertAlign w:val="baseline"/>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42" w:type="dxa"/>
            <w:gridSpan w:val="6"/>
            <w:vAlign w:val="top"/>
          </w:tcPr>
          <w:p>
            <w:pPr>
              <w:bidi w:val="0"/>
              <w:rPr>
                <w:rFonts w:eastAsia="宋体" w:cs="Times New Roman"/>
                <w:color w:val="auto"/>
                <w:sz w:val="20"/>
                <w:szCs w:val="20"/>
                <w:vertAlign w:val="subscript"/>
              </w:rPr>
            </w:pPr>
            <w:r>
              <w:rPr>
                <w:rFonts w:hint="eastAsia" w:cs="Times New Roman"/>
                <w:b w:val="0"/>
                <w:bCs/>
                <w:color w:val="auto"/>
                <w:kern w:val="44"/>
                <w:sz w:val="18"/>
                <w:szCs w:val="18"/>
                <w:vertAlign w:val="baseline"/>
                <w:lang w:val="en-US" w:eastAsia="zh-CN" w:bidi="ar-SA"/>
              </w:rPr>
              <w:t xml:space="preserve">Note 1: When the Max TA is larger than slot length, need </w:t>
            </w:r>
            <w:r>
              <w:rPr>
                <w:rFonts w:eastAsia="宋体" w:cs="Times New Roman"/>
                <w:color w:val="auto"/>
                <w:sz w:val="20"/>
                <w:szCs w:val="20"/>
              </w:rPr>
              <w:t>K</w:t>
            </w:r>
            <w:r>
              <w:rPr>
                <w:rFonts w:eastAsia="宋体" w:cs="Times New Roman"/>
                <w:color w:val="auto"/>
                <w:sz w:val="20"/>
                <w:szCs w:val="20"/>
                <w:vertAlign w:val="subscript"/>
              </w:rPr>
              <w:t>offset</w:t>
            </w:r>
            <w:r>
              <w:rPr>
                <w:rFonts w:hint="eastAsia" w:cs="Times New Roman"/>
                <w:b w:val="0"/>
                <w:bCs/>
                <w:color w:val="auto"/>
                <w:kern w:val="44"/>
                <w:sz w:val="18"/>
                <w:szCs w:val="18"/>
                <w:vertAlign w:val="baseline"/>
                <w:lang w:val="en-US" w:eastAsia="zh-CN" w:bidi="ar-SA"/>
              </w:rPr>
              <w:t xml:space="preserve">; Otherwise, not need </w:t>
            </w:r>
            <w:r>
              <w:rPr>
                <w:rFonts w:eastAsia="宋体" w:cs="Times New Roman"/>
                <w:color w:val="auto"/>
                <w:sz w:val="20"/>
                <w:szCs w:val="20"/>
              </w:rPr>
              <w:t>K</w:t>
            </w:r>
            <w:r>
              <w:rPr>
                <w:rFonts w:eastAsia="宋体" w:cs="Times New Roman"/>
                <w:color w:val="auto"/>
                <w:sz w:val="20"/>
                <w:szCs w:val="20"/>
                <w:vertAlign w:val="subscript"/>
              </w:rPr>
              <w:t>offset</w:t>
            </w:r>
            <w:r>
              <w:rPr>
                <w:rFonts w:hint="eastAsia" w:eastAsia="宋体"/>
                <w:color w:val="auto"/>
                <w:sz w:val="20"/>
                <w:szCs w:val="20"/>
                <w:lang w:val="en-US" w:eastAsia="zh-CN"/>
              </w:rPr>
              <w:t>.</w:t>
            </w:r>
          </w:p>
          <w:p>
            <w:pPr>
              <w:bidi w:val="0"/>
              <w:jc w:val="both"/>
              <w:rPr>
                <w:rFonts w:hint="default" w:eastAsia="宋体" w:cs="Times New Roman"/>
                <w:color w:val="auto"/>
                <w:sz w:val="20"/>
                <w:szCs w:val="20"/>
                <w:vertAlign w:val="subscript"/>
                <w:lang w:val="en-US" w:eastAsia="zh-CN"/>
              </w:rPr>
            </w:pPr>
            <w:r>
              <w:rPr>
                <w:rFonts w:hint="eastAsia" w:cs="Times New Roman"/>
                <w:b w:val="0"/>
                <w:bCs/>
                <w:color w:val="auto"/>
                <w:kern w:val="44"/>
                <w:sz w:val="18"/>
                <w:szCs w:val="18"/>
                <w:vertAlign w:val="baseline"/>
                <w:lang w:val="en-US" w:eastAsia="zh-CN" w:bidi="ar-SA"/>
              </w:rPr>
              <w:t xml:space="preserve">Note 2: When Min </w:t>
            </w:r>
            <w:r>
              <w:rPr>
                <w:rFonts w:eastAsia="宋体" w:cs="Times New Roman"/>
                <w:color w:val="auto"/>
                <w:sz w:val="20"/>
                <w:szCs w:val="20"/>
              </w:rPr>
              <w:t>K</w:t>
            </w:r>
            <w:r>
              <w:rPr>
                <w:rFonts w:eastAsia="宋体" w:cs="Times New Roman"/>
                <w:color w:val="auto"/>
                <w:sz w:val="20"/>
                <w:szCs w:val="20"/>
                <w:vertAlign w:val="subscript"/>
              </w:rPr>
              <w:t>offset</w:t>
            </w:r>
            <w:r>
              <w:rPr>
                <w:rFonts w:hint="eastAsia" w:cs="Times New Roman"/>
                <w:b w:val="0"/>
                <w:bCs/>
                <w:color w:val="auto"/>
                <w:kern w:val="44"/>
                <w:sz w:val="20"/>
                <w:szCs w:val="20"/>
                <w:lang w:val="en-US" w:eastAsia="zh-CN" w:bidi="ar-SA"/>
              </w:rPr>
              <w:t xml:space="preserve"> = 0, which mean no </w:t>
            </w:r>
            <w:r>
              <w:rPr>
                <w:rFonts w:eastAsia="宋体" w:cs="Times New Roman"/>
                <w:sz w:val="20"/>
                <w:szCs w:val="20"/>
              </w:rPr>
              <w:t>K</w:t>
            </w:r>
            <w:r>
              <w:rPr>
                <w:rFonts w:eastAsia="宋体" w:cs="Times New Roman"/>
                <w:sz w:val="20"/>
                <w:szCs w:val="20"/>
                <w:vertAlign w:val="subscript"/>
              </w:rPr>
              <w:t>offset</w:t>
            </w:r>
            <w:r>
              <w:rPr>
                <w:rFonts w:hint="eastAsia" w:eastAsia="宋体" w:cs="Times New Roman"/>
                <w:sz w:val="20"/>
                <w:szCs w:val="20"/>
                <w:vertAlign w:val="subscript"/>
                <w:lang w:val="en-US" w:eastAsia="zh-CN"/>
              </w:rPr>
              <w:t xml:space="preserve"> </w:t>
            </w:r>
            <w:r>
              <w:rPr>
                <w:rFonts w:hint="eastAsia" w:eastAsia="宋体"/>
                <w:color w:val="auto"/>
                <w:sz w:val="20"/>
                <w:szCs w:val="20"/>
                <w:lang w:val="en-US" w:eastAsia="zh-CN"/>
              </w:rPr>
              <w:t>is needed.</w:t>
            </w:r>
          </w:p>
        </w:tc>
      </w:tr>
    </w:tbl>
    <w:p>
      <w:pPr>
        <w:pStyle w:val="4"/>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So we has the following Observation:</w:t>
      </w:r>
    </w:p>
    <w:p>
      <w:pPr>
        <w:pStyle w:val="4"/>
        <w:numPr>
          <w:ilvl w:val="0"/>
          <w:numId w:val="9"/>
        </w:numPr>
        <w:ind w:left="420" w:leftChars="0" w:hanging="420" w:firstLineChars="0"/>
        <w:jc w:val="both"/>
        <w:rPr>
          <w:rFonts w:hint="eastAsia" w:cs="Times New Roman"/>
          <w:b w:val="0"/>
          <w:bCs/>
          <w:color w:val="auto"/>
          <w:kern w:val="44"/>
          <w:sz w:val="20"/>
          <w:szCs w:val="20"/>
          <w:lang w:val="en-US" w:eastAsia="zh-CN" w:bidi="ar-SA"/>
        </w:rPr>
      </w:pPr>
      <w:r>
        <w:rPr>
          <w:rFonts w:hint="eastAsia" w:eastAsia="宋体"/>
          <w:color w:val="auto"/>
          <w:sz w:val="20"/>
          <w:szCs w:val="20"/>
          <w:lang w:val="en-US" w:eastAsia="zh-CN"/>
        </w:rPr>
        <w:t xml:space="preserve">For the case of 15 kHz SCS, not need to introduce </w:t>
      </w:r>
      <w:r>
        <w:rPr>
          <w:rFonts w:eastAsia="宋体" w:cs="Times New Roman"/>
          <w:color w:val="auto"/>
          <w:sz w:val="20"/>
          <w:szCs w:val="20"/>
        </w:rPr>
        <w:t>K</w:t>
      </w:r>
      <w:r>
        <w:rPr>
          <w:rFonts w:eastAsia="宋体" w:cs="Times New Roman"/>
          <w:color w:val="auto"/>
          <w:sz w:val="20"/>
          <w:szCs w:val="20"/>
          <w:vertAlign w:val="subscript"/>
        </w:rPr>
        <w:t>offset</w:t>
      </w:r>
      <w:r>
        <w:rPr>
          <w:rFonts w:hint="eastAsia" w:cs="Times New Roman"/>
          <w:b w:val="0"/>
          <w:bCs/>
          <w:color w:val="auto"/>
          <w:kern w:val="44"/>
          <w:sz w:val="20"/>
          <w:szCs w:val="20"/>
          <w:lang w:val="en-US" w:eastAsia="zh-CN" w:bidi="ar-SA"/>
        </w:rPr>
        <w:t xml:space="preserve"> for each deployment;</w:t>
      </w:r>
    </w:p>
    <w:p>
      <w:pPr>
        <w:pStyle w:val="4"/>
        <w:numPr>
          <w:ilvl w:val="0"/>
          <w:numId w:val="9"/>
        </w:numPr>
        <w:ind w:left="420" w:leftChars="0" w:hanging="420" w:firstLineChars="0"/>
        <w:jc w:val="both"/>
        <w:rPr>
          <w:rFonts w:hint="eastAsia" w:cs="Times New Roman"/>
          <w:b w:val="0"/>
          <w:bCs/>
          <w:color w:val="auto"/>
          <w:kern w:val="44"/>
          <w:sz w:val="20"/>
          <w:szCs w:val="20"/>
          <w:lang w:val="en-US" w:eastAsia="zh-CN" w:bidi="ar-SA"/>
        </w:rPr>
      </w:pPr>
      <w:r>
        <w:rPr>
          <w:rFonts w:hint="eastAsia" w:cs="Times New Roman"/>
          <w:b w:val="0"/>
          <w:bCs/>
          <w:color w:val="auto"/>
          <w:kern w:val="44"/>
          <w:sz w:val="20"/>
          <w:szCs w:val="20"/>
          <w:lang w:val="en-US" w:eastAsia="zh-CN" w:bidi="ar-SA"/>
        </w:rPr>
        <w:t xml:space="preserve">For the case of 30 kHz SCS, for the the traditional TN deployment, not need to </w:t>
      </w:r>
      <w:r>
        <w:rPr>
          <w:rFonts w:hint="eastAsia" w:eastAsia="宋体"/>
          <w:color w:val="auto"/>
          <w:sz w:val="20"/>
          <w:szCs w:val="20"/>
          <w:lang w:val="en-US" w:eastAsia="zh-CN"/>
        </w:rPr>
        <w:t xml:space="preserve">introduce </w:t>
      </w:r>
      <w:r>
        <w:rPr>
          <w:rFonts w:eastAsia="宋体" w:cs="Times New Roman"/>
          <w:color w:val="auto"/>
          <w:sz w:val="20"/>
          <w:szCs w:val="20"/>
        </w:rPr>
        <w:t>K</w:t>
      </w:r>
      <w:r>
        <w:rPr>
          <w:rFonts w:eastAsia="宋体" w:cs="Times New Roman"/>
          <w:color w:val="auto"/>
          <w:sz w:val="20"/>
          <w:szCs w:val="20"/>
          <w:vertAlign w:val="subscript"/>
        </w:rPr>
        <w:t>offset</w:t>
      </w:r>
      <w:r>
        <w:rPr>
          <w:rFonts w:hint="eastAsia" w:eastAsia="宋体"/>
          <w:color w:val="auto"/>
          <w:sz w:val="20"/>
          <w:szCs w:val="20"/>
          <w:lang w:val="en-US" w:eastAsia="zh-CN"/>
        </w:rPr>
        <w:t xml:space="preserve">, while for the horizon beam coverage deployment, need to introduce </w:t>
      </w:r>
      <w:r>
        <w:rPr>
          <w:rFonts w:eastAsia="宋体" w:cs="Times New Roman"/>
          <w:color w:val="auto"/>
          <w:sz w:val="20"/>
          <w:szCs w:val="20"/>
        </w:rPr>
        <w:t>K</w:t>
      </w:r>
      <w:r>
        <w:rPr>
          <w:rFonts w:eastAsia="宋体" w:cs="Times New Roman"/>
          <w:color w:val="auto"/>
          <w:sz w:val="20"/>
          <w:szCs w:val="20"/>
          <w:vertAlign w:val="subscript"/>
        </w:rPr>
        <w:t>offset</w:t>
      </w:r>
      <w:r>
        <w:rPr>
          <w:rFonts w:hint="eastAsia" w:eastAsia="宋体" w:cs="Times New Roman"/>
          <w:color w:val="auto"/>
          <w:sz w:val="20"/>
          <w:szCs w:val="20"/>
          <w:vertAlign w:val="subscript"/>
          <w:lang w:val="en-US" w:eastAsia="zh-CN"/>
        </w:rPr>
        <w:t xml:space="preserve"> </w:t>
      </w:r>
      <w:r>
        <w:rPr>
          <w:rFonts w:hint="eastAsia" w:cs="Times New Roman"/>
          <w:b w:val="0"/>
          <w:bCs/>
          <w:color w:val="auto"/>
          <w:kern w:val="44"/>
          <w:sz w:val="20"/>
          <w:szCs w:val="20"/>
          <w:lang w:val="en-US" w:eastAsia="zh-CN" w:bidi="ar-SA"/>
        </w:rPr>
        <w:t>mechanism;</w:t>
      </w:r>
    </w:p>
    <w:p>
      <w:pPr>
        <w:pStyle w:val="4"/>
        <w:numPr>
          <w:ilvl w:val="0"/>
          <w:numId w:val="9"/>
        </w:numPr>
        <w:ind w:left="420" w:leftChars="0" w:hanging="420" w:firstLineChars="0"/>
        <w:jc w:val="both"/>
        <w:rPr>
          <w:rFonts w:hint="eastAsia" w:cs="Times New Roman"/>
          <w:b w:val="0"/>
          <w:bCs/>
          <w:color w:val="auto"/>
          <w:kern w:val="44"/>
          <w:sz w:val="20"/>
          <w:szCs w:val="20"/>
          <w:lang w:val="en-US" w:eastAsia="zh-CN" w:bidi="ar-SA"/>
        </w:rPr>
      </w:pPr>
      <w:r>
        <w:rPr>
          <w:rFonts w:hint="eastAsia" w:cs="Times New Roman"/>
          <w:b w:val="0"/>
          <w:bCs/>
          <w:color w:val="auto"/>
          <w:kern w:val="44"/>
          <w:sz w:val="20"/>
          <w:szCs w:val="20"/>
          <w:lang w:val="en-US" w:eastAsia="zh-CN" w:bidi="ar-SA"/>
        </w:rPr>
        <w:t xml:space="preserve">For the case of 60 kHz SCS, </w:t>
      </w:r>
      <w:r>
        <w:rPr>
          <w:rFonts w:hint="eastAsia" w:eastAsia="宋体"/>
          <w:color w:val="auto"/>
          <w:sz w:val="20"/>
          <w:szCs w:val="20"/>
          <w:lang w:val="en-US" w:eastAsia="zh-CN"/>
        </w:rPr>
        <w:t xml:space="preserve">need to introduce </w:t>
      </w:r>
      <w:r>
        <w:rPr>
          <w:rFonts w:eastAsia="宋体" w:cs="Times New Roman"/>
          <w:color w:val="auto"/>
          <w:sz w:val="20"/>
          <w:szCs w:val="20"/>
        </w:rPr>
        <w:t>K</w:t>
      </w:r>
      <w:r>
        <w:rPr>
          <w:rFonts w:eastAsia="宋体" w:cs="Times New Roman"/>
          <w:color w:val="auto"/>
          <w:sz w:val="20"/>
          <w:szCs w:val="20"/>
          <w:vertAlign w:val="subscript"/>
        </w:rPr>
        <w:t>offset</w:t>
      </w:r>
      <w:r>
        <w:rPr>
          <w:rFonts w:hint="eastAsia" w:cs="Times New Roman"/>
          <w:b w:val="0"/>
          <w:bCs/>
          <w:color w:val="auto"/>
          <w:kern w:val="44"/>
          <w:sz w:val="20"/>
          <w:szCs w:val="20"/>
          <w:lang w:val="en-US" w:eastAsia="zh-CN" w:bidi="ar-SA"/>
        </w:rPr>
        <w:t xml:space="preserve"> for each deployment.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Regarding to whether introducing the mechanism of </w:t>
      </w:r>
      <w:r>
        <w:rPr>
          <w:rFonts w:eastAsia="宋体" w:cs="Times New Roman"/>
          <w:b/>
          <w:bCs/>
          <w:color w:val="auto"/>
          <w:sz w:val="20"/>
          <w:szCs w:val="20"/>
        </w:rPr>
        <w:t>K</w:t>
      </w:r>
      <w:r>
        <w:rPr>
          <w:rFonts w:eastAsia="宋体" w:cs="Times New Roman"/>
          <w:b/>
          <w:bCs/>
          <w:color w:val="auto"/>
          <w:sz w:val="20"/>
          <w:szCs w:val="20"/>
          <w:vertAlign w:val="subscript"/>
        </w:rPr>
        <w:t>offset</w:t>
      </w:r>
      <w:r>
        <w:rPr>
          <w:rFonts w:hint="eastAsia" w:cs="Times New Roman"/>
          <w:b/>
          <w:bCs/>
          <w:color w:val="auto"/>
          <w:kern w:val="44"/>
          <w:sz w:val="20"/>
          <w:szCs w:val="20"/>
          <w:lang w:val="en-US" w:eastAsia="zh-CN" w:bidi="ar-SA"/>
        </w:rPr>
        <w:t xml:space="preserve"> </w:t>
      </w:r>
      <w:r>
        <w:rPr>
          <w:rFonts w:hint="eastAsia" w:eastAsia="宋体" w:cs="Times New Roman"/>
          <w:b/>
          <w:bCs/>
          <w:color w:val="auto"/>
          <w:sz w:val="20"/>
          <w:szCs w:val="20"/>
          <w:highlight w:val="none"/>
          <w:lang w:val="en-US" w:eastAsia="zh-CN" w:bidi="ar-SA"/>
        </w:rPr>
        <w:t>similar as in NTN, after analysis each case of deployment, we have the following suggestion:</w:t>
      </w:r>
    </w:p>
    <w:p>
      <w:pPr>
        <w:pStyle w:val="4"/>
        <w:numPr>
          <w:ilvl w:val="0"/>
          <w:numId w:val="9"/>
        </w:numPr>
        <w:ind w:left="420" w:leftChars="0" w:hanging="420" w:firstLineChars="0"/>
        <w:jc w:val="both"/>
        <w:rPr>
          <w:rFonts w:hint="eastAsia" w:cs="Times New Roman"/>
          <w:b/>
          <w:bCs/>
          <w:color w:val="auto"/>
          <w:kern w:val="44"/>
          <w:sz w:val="20"/>
          <w:szCs w:val="20"/>
          <w:lang w:val="en-US" w:eastAsia="zh-CN" w:bidi="ar-SA"/>
        </w:rPr>
      </w:pPr>
      <w:r>
        <w:rPr>
          <w:rFonts w:hint="eastAsia" w:eastAsia="宋体"/>
          <w:b/>
          <w:bCs/>
          <w:color w:val="auto"/>
          <w:sz w:val="20"/>
          <w:szCs w:val="20"/>
          <w:lang w:val="en-US" w:eastAsia="zh-CN"/>
        </w:rPr>
        <w:t xml:space="preserve">For the case of 15 kHz SCS, not need to introduce </w:t>
      </w:r>
      <w:r>
        <w:rPr>
          <w:rFonts w:eastAsia="宋体" w:cs="Times New Roman"/>
          <w:b/>
          <w:bCs/>
          <w:color w:val="auto"/>
          <w:sz w:val="20"/>
          <w:szCs w:val="20"/>
        </w:rPr>
        <w:t>K</w:t>
      </w:r>
      <w:r>
        <w:rPr>
          <w:rFonts w:eastAsia="宋体" w:cs="Times New Roman"/>
          <w:b/>
          <w:bCs/>
          <w:color w:val="auto"/>
          <w:sz w:val="20"/>
          <w:szCs w:val="20"/>
          <w:vertAlign w:val="subscript"/>
        </w:rPr>
        <w:t>offset</w:t>
      </w:r>
      <w:r>
        <w:rPr>
          <w:rFonts w:hint="eastAsia" w:cs="Times New Roman"/>
          <w:b/>
          <w:bCs/>
          <w:color w:val="auto"/>
          <w:kern w:val="44"/>
          <w:sz w:val="20"/>
          <w:szCs w:val="20"/>
          <w:lang w:val="en-US" w:eastAsia="zh-CN" w:bidi="ar-SA"/>
        </w:rPr>
        <w:t xml:space="preserve"> for each deployment;</w:t>
      </w:r>
    </w:p>
    <w:p>
      <w:pPr>
        <w:pStyle w:val="4"/>
        <w:numPr>
          <w:ilvl w:val="0"/>
          <w:numId w:val="9"/>
        </w:numPr>
        <w:ind w:left="420" w:leftChars="0" w:hanging="420" w:firstLineChars="0"/>
        <w:jc w:val="both"/>
        <w:rPr>
          <w:rFonts w:hint="eastAsia" w:cs="Times New Roman"/>
          <w:b/>
          <w:bCs/>
          <w:color w:val="auto"/>
          <w:kern w:val="44"/>
          <w:sz w:val="20"/>
          <w:szCs w:val="20"/>
          <w:lang w:val="en-US" w:eastAsia="zh-CN" w:bidi="ar-SA"/>
        </w:rPr>
      </w:pPr>
      <w:r>
        <w:rPr>
          <w:rFonts w:hint="eastAsia" w:cs="Times New Roman"/>
          <w:b/>
          <w:bCs/>
          <w:color w:val="auto"/>
          <w:kern w:val="44"/>
          <w:sz w:val="20"/>
          <w:szCs w:val="20"/>
          <w:lang w:val="en-US" w:eastAsia="zh-CN" w:bidi="ar-SA"/>
        </w:rPr>
        <w:t xml:space="preserve">For the case of 30 kHz SCS, for the the traditional TN deployment, not need to </w:t>
      </w:r>
      <w:r>
        <w:rPr>
          <w:rFonts w:hint="eastAsia" w:eastAsia="宋体"/>
          <w:b/>
          <w:bCs/>
          <w:color w:val="auto"/>
          <w:sz w:val="20"/>
          <w:szCs w:val="20"/>
          <w:lang w:val="en-US" w:eastAsia="zh-CN"/>
        </w:rPr>
        <w:t xml:space="preserve">introduce </w:t>
      </w:r>
      <w:r>
        <w:rPr>
          <w:rFonts w:eastAsia="宋体" w:cs="Times New Roman"/>
          <w:b/>
          <w:bCs/>
          <w:color w:val="auto"/>
          <w:sz w:val="20"/>
          <w:szCs w:val="20"/>
        </w:rPr>
        <w:t>K</w:t>
      </w:r>
      <w:r>
        <w:rPr>
          <w:rFonts w:eastAsia="宋体" w:cs="Times New Roman"/>
          <w:b/>
          <w:bCs/>
          <w:color w:val="auto"/>
          <w:sz w:val="20"/>
          <w:szCs w:val="20"/>
          <w:vertAlign w:val="subscript"/>
        </w:rPr>
        <w:t>offset</w:t>
      </w:r>
      <w:r>
        <w:rPr>
          <w:rFonts w:hint="eastAsia" w:eastAsia="宋体"/>
          <w:b/>
          <w:bCs/>
          <w:color w:val="auto"/>
          <w:sz w:val="20"/>
          <w:szCs w:val="20"/>
          <w:lang w:val="en-US" w:eastAsia="zh-CN"/>
        </w:rPr>
        <w:t xml:space="preserve">, while for the horizon beam coverage deployment, need to introduce </w:t>
      </w:r>
      <w:r>
        <w:rPr>
          <w:rFonts w:eastAsia="宋体" w:cs="Times New Roman"/>
          <w:b/>
          <w:bCs/>
          <w:color w:val="auto"/>
          <w:sz w:val="20"/>
          <w:szCs w:val="20"/>
        </w:rPr>
        <w:t>K</w:t>
      </w:r>
      <w:r>
        <w:rPr>
          <w:rFonts w:eastAsia="宋体" w:cs="Times New Roman"/>
          <w:b/>
          <w:bCs/>
          <w:color w:val="auto"/>
          <w:sz w:val="20"/>
          <w:szCs w:val="20"/>
          <w:vertAlign w:val="subscript"/>
        </w:rPr>
        <w:t>offset</w:t>
      </w:r>
      <w:r>
        <w:rPr>
          <w:rFonts w:hint="eastAsia" w:eastAsia="宋体" w:cs="Times New Roman"/>
          <w:b/>
          <w:bCs/>
          <w:color w:val="auto"/>
          <w:sz w:val="20"/>
          <w:szCs w:val="20"/>
          <w:vertAlign w:val="subscript"/>
          <w:lang w:val="en-US" w:eastAsia="zh-CN"/>
        </w:rPr>
        <w:t xml:space="preserve"> </w:t>
      </w:r>
      <w:r>
        <w:rPr>
          <w:rFonts w:hint="eastAsia" w:cs="Times New Roman"/>
          <w:b/>
          <w:bCs/>
          <w:color w:val="auto"/>
          <w:kern w:val="44"/>
          <w:sz w:val="20"/>
          <w:szCs w:val="20"/>
          <w:lang w:val="en-US" w:eastAsia="zh-CN" w:bidi="ar-SA"/>
        </w:rPr>
        <w:t>mechanism;</w:t>
      </w:r>
    </w:p>
    <w:p>
      <w:pPr>
        <w:pStyle w:val="4"/>
        <w:numPr>
          <w:ilvl w:val="0"/>
          <w:numId w:val="9"/>
        </w:numPr>
        <w:ind w:left="420" w:leftChars="0" w:hanging="420" w:firstLineChars="0"/>
        <w:jc w:val="both"/>
        <w:rPr>
          <w:rFonts w:hint="eastAsia" w:cs="Times New Roman"/>
          <w:b/>
          <w:bCs/>
          <w:color w:val="auto"/>
          <w:kern w:val="44"/>
          <w:sz w:val="20"/>
          <w:szCs w:val="20"/>
          <w:lang w:val="en-US" w:eastAsia="zh-CN" w:bidi="ar-SA"/>
        </w:rPr>
      </w:pPr>
      <w:r>
        <w:rPr>
          <w:rFonts w:hint="eastAsia" w:cs="Times New Roman"/>
          <w:b/>
          <w:bCs/>
          <w:color w:val="auto"/>
          <w:kern w:val="44"/>
          <w:sz w:val="20"/>
          <w:szCs w:val="20"/>
          <w:lang w:val="en-US" w:eastAsia="zh-CN" w:bidi="ar-SA"/>
        </w:rPr>
        <w:t xml:space="preserve">For the case of 60 kHz SCS, </w:t>
      </w:r>
      <w:r>
        <w:rPr>
          <w:rFonts w:hint="eastAsia" w:eastAsia="宋体"/>
          <w:b/>
          <w:bCs/>
          <w:color w:val="auto"/>
          <w:sz w:val="20"/>
          <w:szCs w:val="20"/>
          <w:lang w:val="en-US" w:eastAsia="zh-CN"/>
        </w:rPr>
        <w:t xml:space="preserve">need to introduce </w:t>
      </w:r>
      <w:r>
        <w:rPr>
          <w:rFonts w:eastAsia="宋体" w:cs="Times New Roman"/>
          <w:b/>
          <w:bCs/>
          <w:color w:val="auto"/>
          <w:sz w:val="20"/>
          <w:szCs w:val="20"/>
        </w:rPr>
        <w:t>K</w:t>
      </w:r>
      <w:r>
        <w:rPr>
          <w:rFonts w:eastAsia="宋体" w:cs="Times New Roman"/>
          <w:b/>
          <w:bCs/>
          <w:color w:val="auto"/>
          <w:sz w:val="20"/>
          <w:szCs w:val="20"/>
          <w:vertAlign w:val="subscript"/>
        </w:rPr>
        <w:t>offset</w:t>
      </w:r>
      <w:r>
        <w:rPr>
          <w:rFonts w:hint="eastAsia" w:cs="Times New Roman"/>
          <w:b/>
          <w:bCs/>
          <w:color w:val="auto"/>
          <w:kern w:val="44"/>
          <w:sz w:val="20"/>
          <w:szCs w:val="20"/>
          <w:lang w:val="en-US" w:eastAsia="zh-CN" w:bidi="ar-SA"/>
        </w:rPr>
        <w:t xml:space="preserve"> for each deployment.</w:t>
      </w:r>
    </w:p>
    <w:p>
      <w:pPr>
        <w:pStyle w:val="3"/>
        <w:numPr>
          <w:ilvl w:val="0"/>
          <w:numId w:val="0"/>
        </w:numPr>
        <w:bidi w:val="0"/>
        <w:ind w:leftChars="0"/>
        <w:rPr>
          <w:rFonts w:hint="eastAsia"/>
          <w:lang w:val="en-US" w:eastAsia="zh-CN"/>
        </w:rPr>
      </w:pPr>
      <w:r>
        <w:rPr>
          <w:rFonts w:hint="eastAsia"/>
          <w:lang w:val="en-US" w:eastAsia="zh-CN"/>
        </w:rPr>
        <w:t>2.3 Gradual timing adjustment</w:t>
      </w:r>
    </w:p>
    <w:p>
      <w:pPr>
        <w:pStyle w:val="4"/>
        <w:rPr>
          <w:rFonts w:hint="default"/>
          <w:lang w:val="en-US" w:eastAsia="zh-CN"/>
        </w:rPr>
      </w:pPr>
      <w:r>
        <w:rPr>
          <w:rFonts w:hint="eastAsia" w:eastAsia="宋体"/>
          <w:color w:val="auto"/>
          <w:sz w:val="20"/>
          <w:szCs w:val="20"/>
          <w:lang w:val="en-US" w:eastAsia="zh-CN"/>
        </w:rPr>
        <w:t>Regarding to this issue, the following options were captured in [2]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5"/>
              </w:numPr>
              <w:spacing w:after="120"/>
              <w:ind w:hanging="357" w:firstLineChars="0"/>
              <w:rPr>
                <w:rFonts w:eastAsia="宋体"/>
                <w:sz w:val="20"/>
                <w:szCs w:val="20"/>
              </w:rPr>
            </w:pPr>
            <w:r>
              <w:rPr>
                <w:rFonts w:eastAsia="宋体"/>
                <w:sz w:val="20"/>
                <w:szCs w:val="20"/>
              </w:rPr>
              <w:t>Option 1: For ATG, the T</w:t>
            </w:r>
            <w:r>
              <w:rPr>
                <w:rFonts w:eastAsia="宋体"/>
                <w:sz w:val="20"/>
                <w:szCs w:val="20"/>
                <w:vertAlign w:val="subscript"/>
              </w:rPr>
              <w:t>q_ATG</w:t>
            </w:r>
            <w:r>
              <w:rPr>
                <w:rFonts w:eastAsia="宋体"/>
                <w:sz w:val="20"/>
                <w:szCs w:val="20"/>
              </w:rPr>
              <w:t xml:space="preserve"> and T</w:t>
            </w:r>
            <w:r>
              <w:rPr>
                <w:rFonts w:eastAsia="宋体"/>
                <w:sz w:val="20"/>
                <w:szCs w:val="20"/>
                <w:vertAlign w:val="subscript"/>
              </w:rPr>
              <w:t>p_ATG</w:t>
            </w:r>
            <w:r>
              <w:rPr>
                <w:rFonts w:eastAsia="宋体"/>
                <w:sz w:val="20"/>
                <w:szCs w:val="20"/>
              </w:rPr>
              <w:t xml:space="preserve"> should be 9.5*64*Tc in FR1 and UL SCS 15kHz and 30kHz SCS. </w:t>
            </w:r>
          </w:p>
          <w:p>
            <w:pPr>
              <w:pStyle w:val="28"/>
              <w:numPr>
                <w:ilvl w:val="0"/>
                <w:numId w:val="5"/>
              </w:numPr>
              <w:spacing w:after="120"/>
              <w:ind w:hanging="357" w:firstLineChars="0"/>
              <w:rPr>
                <w:rFonts w:eastAsia="宋体"/>
                <w:sz w:val="20"/>
                <w:szCs w:val="20"/>
              </w:rPr>
            </w:pPr>
            <w:r>
              <w:rPr>
                <w:rFonts w:eastAsia="宋体"/>
                <w:sz w:val="20"/>
                <w:szCs w:val="20"/>
              </w:rPr>
              <w:t xml:space="preserve">Option 2: The maximum aggregate adjustment rate is changed to Tq per 100ms for ATG UE. </w:t>
            </w:r>
          </w:p>
          <w:p>
            <w:pPr>
              <w:pStyle w:val="28"/>
              <w:numPr>
                <w:ilvl w:val="0"/>
                <w:numId w:val="5"/>
              </w:numPr>
              <w:spacing w:after="120"/>
              <w:ind w:hanging="357" w:firstLineChars="0"/>
              <w:rPr>
                <w:rFonts w:hint="default"/>
                <w:vertAlign w:val="baseline"/>
                <w:lang w:val="en-US" w:eastAsia="zh-CN"/>
              </w:rPr>
            </w:pPr>
            <w:r>
              <w:rPr>
                <w:rFonts w:eastAsia="宋体"/>
                <w:sz w:val="20"/>
                <w:szCs w:val="20"/>
              </w:rPr>
              <w:t>Option 3: T</w:t>
            </w:r>
            <w:r>
              <w:rPr>
                <w:rFonts w:eastAsia="宋体"/>
                <w:sz w:val="20"/>
                <w:szCs w:val="20"/>
                <w:vertAlign w:val="subscript"/>
              </w:rPr>
              <w:t>p</w:t>
            </w:r>
            <w:r>
              <w:rPr>
                <w:rFonts w:eastAsia="宋体"/>
                <w:sz w:val="20"/>
                <w:szCs w:val="20"/>
              </w:rPr>
              <w:t xml:space="preserve"> and T</w:t>
            </w:r>
            <w:r>
              <w:rPr>
                <w:rFonts w:eastAsia="宋体"/>
                <w:sz w:val="20"/>
                <w:szCs w:val="20"/>
                <w:vertAlign w:val="subscript"/>
              </w:rPr>
              <w:t>q</w:t>
            </w:r>
            <w:r>
              <w:rPr>
                <w:rFonts w:eastAsia="宋体"/>
                <w:sz w:val="20"/>
                <w:szCs w:val="20"/>
              </w:rPr>
              <w:t xml:space="preserve"> shall be updated for ATG UE.</w:t>
            </w:r>
          </w:p>
        </w:tc>
      </w:tr>
    </w:tbl>
    <w:p>
      <w:pPr>
        <w:pStyle w:val="4"/>
        <w:rPr>
          <w:rFonts w:hint="eastAsia" w:eastAsia="宋体"/>
          <w:sz w:val="20"/>
          <w:szCs w:val="20"/>
          <w:lang w:val="en-US" w:eastAsia="zh-CN"/>
        </w:rPr>
      </w:pPr>
      <w:r>
        <w:rPr>
          <w:rFonts w:hint="eastAsia" w:eastAsia="宋体"/>
          <w:bCs/>
          <w:color w:val="auto"/>
          <w:sz w:val="20"/>
          <w:szCs w:val="20"/>
          <w:lang w:val="en-US" w:eastAsia="zh-CN"/>
        </w:rPr>
        <w:t xml:space="preserve">When determining the value of gradual timing adjustment </w:t>
      </w:r>
      <w:r>
        <w:rPr>
          <w:rFonts w:eastAsia="宋体"/>
          <w:sz w:val="20"/>
          <w:szCs w:val="20"/>
        </w:rPr>
        <w:t>T</w:t>
      </w:r>
      <w:r>
        <w:rPr>
          <w:rFonts w:eastAsia="宋体"/>
          <w:sz w:val="20"/>
          <w:szCs w:val="20"/>
          <w:vertAlign w:val="subscript"/>
        </w:rPr>
        <w:t>p</w:t>
      </w:r>
      <w:r>
        <w:rPr>
          <w:rFonts w:eastAsia="宋体"/>
          <w:sz w:val="20"/>
          <w:szCs w:val="20"/>
        </w:rPr>
        <w:t xml:space="preserve"> and T</w:t>
      </w:r>
      <w:r>
        <w:rPr>
          <w:rFonts w:eastAsia="宋体"/>
          <w:sz w:val="20"/>
          <w:szCs w:val="20"/>
          <w:vertAlign w:val="subscript"/>
        </w:rPr>
        <w:t>q</w:t>
      </w:r>
      <w:r>
        <w:rPr>
          <w:rFonts w:hint="eastAsia" w:eastAsia="宋体"/>
          <w:bCs/>
          <w:color w:val="auto"/>
          <w:sz w:val="20"/>
          <w:szCs w:val="20"/>
          <w:lang w:val="en-US" w:eastAsia="zh-CN"/>
        </w:rPr>
        <w:t xml:space="preserve">, at the high speed moving of up to 1200 km/h, the time drift due to frequency error per 200ms is 20 ns, and the time drift due to UE movement per 200ms is about 222 ns, so the most challenge of ATG scenario compared with the legacy case is the larger time drift due to high speed moving. If applying the gradual timing adjustment </w:t>
      </w:r>
      <w:r>
        <w:rPr>
          <w:rFonts w:eastAsia="宋体"/>
          <w:sz w:val="20"/>
          <w:szCs w:val="20"/>
        </w:rPr>
        <w:t>T</w:t>
      </w:r>
      <w:r>
        <w:rPr>
          <w:rFonts w:eastAsia="宋体"/>
          <w:sz w:val="20"/>
          <w:szCs w:val="20"/>
          <w:vertAlign w:val="subscript"/>
        </w:rPr>
        <w:t>p</w:t>
      </w:r>
      <w:r>
        <w:rPr>
          <w:rFonts w:eastAsia="宋体"/>
          <w:sz w:val="20"/>
          <w:szCs w:val="20"/>
        </w:rPr>
        <w:t xml:space="preserve"> and T</w:t>
      </w:r>
      <w:r>
        <w:rPr>
          <w:rFonts w:eastAsia="宋体"/>
          <w:sz w:val="20"/>
          <w:szCs w:val="20"/>
          <w:vertAlign w:val="subscript"/>
        </w:rPr>
        <w:t>q</w:t>
      </w:r>
      <w:r>
        <w:rPr>
          <w:rFonts w:eastAsia="宋体"/>
          <w:sz w:val="20"/>
          <w:szCs w:val="20"/>
        </w:rPr>
        <w:t xml:space="preserve"> </w:t>
      </w:r>
      <w:r>
        <w:rPr>
          <w:rFonts w:hint="eastAsia" w:eastAsia="宋体"/>
          <w:sz w:val="20"/>
          <w:szCs w:val="20"/>
          <w:lang w:val="en-US" w:eastAsia="zh-CN"/>
        </w:rPr>
        <w:t xml:space="preserve">to trace such larger time drift, the requirements of </w:t>
      </w:r>
      <w:r>
        <w:rPr>
          <w:rFonts w:eastAsia="宋体"/>
          <w:sz w:val="20"/>
          <w:szCs w:val="20"/>
        </w:rPr>
        <w:t>T</w:t>
      </w:r>
      <w:r>
        <w:rPr>
          <w:rFonts w:eastAsia="宋体"/>
          <w:sz w:val="20"/>
          <w:szCs w:val="20"/>
          <w:vertAlign w:val="subscript"/>
        </w:rPr>
        <w:t>p</w:t>
      </w:r>
      <w:r>
        <w:rPr>
          <w:rFonts w:hint="eastAsia" w:eastAsia="宋体"/>
          <w:sz w:val="20"/>
          <w:szCs w:val="20"/>
          <w:lang w:val="en-US" w:eastAsia="zh-CN"/>
        </w:rPr>
        <w:t>/</w:t>
      </w:r>
      <w:r>
        <w:rPr>
          <w:rFonts w:eastAsia="宋体"/>
          <w:sz w:val="20"/>
          <w:szCs w:val="20"/>
        </w:rPr>
        <w:t>T</w:t>
      </w:r>
      <w:r>
        <w:rPr>
          <w:rFonts w:eastAsia="宋体"/>
          <w:sz w:val="20"/>
          <w:szCs w:val="20"/>
          <w:vertAlign w:val="subscript"/>
        </w:rPr>
        <w:t>q</w:t>
      </w:r>
      <w:r>
        <w:rPr>
          <w:rFonts w:hint="eastAsia" w:eastAsia="宋体"/>
          <w:sz w:val="20"/>
          <w:szCs w:val="20"/>
          <w:lang w:val="en-US" w:eastAsia="zh-CN"/>
        </w:rPr>
        <w:t xml:space="preserve"> need some enhancement to support ATG scenario.</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Due to high speed moving of up to 1200 km/h, a larger time drift is leaded to. If applying the gradual timing adjustment Tp and Tq to trace such larger time drift, the requirements of Tp/Tq need some enhancement to support ATG scenario.</w:t>
      </w:r>
    </w:p>
    <w:p>
      <w:pPr>
        <w:pStyle w:val="4"/>
        <w:rPr>
          <w:rFonts w:hint="eastAsia" w:eastAsia="宋体"/>
          <w:bCs/>
          <w:color w:val="auto"/>
          <w:sz w:val="20"/>
          <w:szCs w:val="20"/>
          <w:lang w:val="en-US" w:eastAsia="zh-CN"/>
        </w:rPr>
      </w:pPr>
      <w:r>
        <w:rPr>
          <w:rFonts w:hint="eastAsia" w:eastAsia="宋体"/>
          <w:bCs/>
          <w:color w:val="auto"/>
          <w:sz w:val="20"/>
          <w:szCs w:val="20"/>
          <w:lang w:val="en-US" w:eastAsia="zh-CN"/>
        </w:rPr>
        <w:t>However, as we analyzed in section 2.1, under some cases, only applying legacy CL TA is not sufficient to follow the jitter of propagation delay, so maybe additional OL TA mechanism is needed. While if additional OL TA is allowed, maybe we do not need to enhance the requirements of Tp/Tq due to such large time drift can be handled by OL TA. That mean for the gradual timing adjustment, UE still apply the legacy Tp/Tq, while when UE would transmit PUSCH/PUCCH, UE has to decide whether additional OL TA is needed, if yes, determine the exact OL TA value based on the location info of BS. So we are open to further discuss whether need to enhance the requirements of Tp and Tq.</w:t>
      </w:r>
    </w:p>
    <w:p>
      <w:pPr>
        <w:pStyle w:val="4"/>
        <w:rPr>
          <w:rFonts w:hint="eastAsia"/>
          <w:lang w:val="en-US" w:eastAsia="zh-CN"/>
        </w:rPr>
      </w:pPr>
      <w:r>
        <w:rPr>
          <w:rFonts w:hint="eastAsia" w:eastAsia="宋体" w:cs="Times New Roman"/>
          <w:b/>
          <w:bCs/>
          <w:color w:val="auto"/>
          <w:sz w:val="20"/>
          <w:szCs w:val="20"/>
          <w:highlight w:val="none"/>
          <w:lang w:val="en-US" w:eastAsia="zh-CN" w:bidi="ar-SA"/>
        </w:rPr>
        <w:t>Proposal 5: Considering such large time drift can be handled by OL TA, and based on our analysis, under some cases, OL TA is necessary to make up the legacy CL TA, so maybe such large time drift can be handled by OL TA. In such case, no need to enhance the requirements of Tp/Tq.</w:t>
      </w:r>
    </w:p>
    <w:p>
      <w:pPr>
        <w:pStyle w:val="3"/>
        <w:numPr>
          <w:ilvl w:val="0"/>
          <w:numId w:val="0"/>
        </w:numPr>
        <w:bidi w:val="0"/>
        <w:ind w:leftChars="0"/>
        <w:rPr>
          <w:rFonts w:hint="eastAsia"/>
          <w:lang w:val="en-US" w:eastAsia="zh-CN"/>
        </w:rPr>
      </w:pPr>
      <w:r>
        <w:rPr>
          <w:rFonts w:hint="eastAsia"/>
          <w:lang w:val="en-US" w:eastAsia="zh-CN"/>
        </w:rPr>
        <w:t>2.4 Initial transmit timing requirements</w:t>
      </w:r>
    </w:p>
    <w:p>
      <w:pPr>
        <w:pStyle w:val="4"/>
        <w:rPr>
          <w:rFonts w:hint="default"/>
          <w:lang w:val="en-US" w:eastAsia="zh-CN"/>
        </w:rPr>
      </w:pPr>
      <w:r>
        <w:rPr>
          <w:rFonts w:hint="eastAsia" w:eastAsia="宋体"/>
          <w:color w:val="auto"/>
          <w:sz w:val="20"/>
          <w:szCs w:val="20"/>
          <w:lang w:val="en-US" w:eastAsia="zh-CN"/>
        </w:rPr>
        <w:t>Regarding to this Te, the following options were captured in [2]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5"/>
              </w:numPr>
              <w:spacing w:after="120"/>
              <w:ind w:hanging="357" w:firstLineChars="0"/>
              <w:rPr>
                <w:rFonts w:eastAsia="宋体" w:cs="Times New Roman"/>
                <w:sz w:val="20"/>
                <w:szCs w:val="20"/>
              </w:rPr>
            </w:pPr>
            <w:r>
              <w:rPr>
                <w:rFonts w:eastAsia="宋体" w:cs="Times New Roman"/>
                <w:sz w:val="20"/>
                <w:szCs w:val="20"/>
              </w:rPr>
              <w:t>Option 1: The legacy R15 TN requirement for initial transmit timing requirement Te can be reused.</w:t>
            </w:r>
          </w:p>
          <w:p>
            <w:pPr>
              <w:pStyle w:val="28"/>
              <w:numPr>
                <w:ilvl w:val="0"/>
                <w:numId w:val="5"/>
              </w:numPr>
              <w:spacing w:after="120"/>
              <w:ind w:hanging="357" w:firstLineChars="0"/>
              <w:rPr>
                <w:rFonts w:hint="default"/>
                <w:vertAlign w:val="baseline"/>
                <w:lang w:val="en-US" w:eastAsia="zh-CN"/>
              </w:rPr>
            </w:pPr>
            <w:r>
              <w:rPr>
                <w:rFonts w:hint="eastAsia" w:eastAsia="宋体" w:cs="Times New Roman"/>
                <w:sz w:val="20"/>
                <w:szCs w:val="20"/>
              </w:rPr>
              <w:t>O</w:t>
            </w:r>
            <w:r>
              <w:rPr>
                <w:rFonts w:eastAsia="宋体" w:cs="Times New Roman"/>
                <w:sz w:val="20"/>
                <w:szCs w:val="20"/>
              </w:rPr>
              <w:t>ption 2: The T</w:t>
            </w:r>
            <w:r>
              <w:rPr>
                <w:rFonts w:eastAsia="宋体" w:cs="Times New Roman"/>
                <w:sz w:val="20"/>
                <w:szCs w:val="20"/>
                <w:vertAlign w:val="subscript"/>
              </w:rPr>
              <w:t>e</w:t>
            </w:r>
            <w:r>
              <w:rPr>
                <w:rFonts w:eastAsia="宋体" w:cs="Times New Roman"/>
                <w:sz w:val="20"/>
                <w:szCs w:val="20"/>
              </w:rPr>
              <w:t xml:space="preserve"> should be revised, FFS the value.</w:t>
            </w:r>
          </w:p>
        </w:tc>
      </w:tr>
    </w:tbl>
    <w:p>
      <w:pPr>
        <w:pStyle w:val="4"/>
        <w:rPr>
          <w:rFonts w:hint="default" w:eastAsia="宋体"/>
          <w:color w:val="auto"/>
          <w:sz w:val="20"/>
          <w:szCs w:val="20"/>
          <w:lang w:val="en-US" w:eastAsia="zh-CN"/>
        </w:rPr>
      </w:pPr>
      <w:r>
        <w:rPr>
          <w:rFonts w:hint="eastAsia" w:eastAsia="宋体"/>
          <w:color w:val="auto"/>
          <w:sz w:val="20"/>
          <w:szCs w:val="20"/>
          <w:lang w:val="en-US" w:eastAsia="zh-CN"/>
        </w:rPr>
        <w:t>If additional OL TA mechanism would be introduced besides legacy CL TA, we are open to further discuss whether the legacy R15 Te can be relaxed. Otherwise, we believe reusing legacy R15 Te is fine.</w:t>
      </w:r>
    </w:p>
    <w:p>
      <w:pPr>
        <w:pStyle w:val="4"/>
        <w:rPr>
          <w:rFonts w:hint="eastAsia"/>
          <w:lang w:val="en-US" w:eastAsia="zh-CN"/>
        </w:rPr>
      </w:pPr>
      <w:r>
        <w:rPr>
          <w:rFonts w:hint="eastAsia" w:eastAsia="宋体" w:cs="Times New Roman"/>
          <w:b/>
          <w:bCs/>
          <w:color w:val="auto"/>
          <w:sz w:val="20"/>
          <w:szCs w:val="20"/>
          <w:highlight w:val="none"/>
          <w:lang w:val="en-US" w:eastAsia="zh-CN" w:bidi="ar-SA"/>
        </w:rPr>
        <w:t>Proposal 6: If additional OL TA mechanism would be introduced besides legacy CL TA, we are open to further discuss whether the legacy R15 Te can be reused. Otherwise, we believe reusing legacy R15 Te is fine.</w:t>
      </w:r>
    </w:p>
    <w:p>
      <w:pPr>
        <w:pStyle w:val="3"/>
        <w:numPr>
          <w:ilvl w:val="0"/>
          <w:numId w:val="0"/>
        </w:numPr>
        <w:bidi w:val="0"/>
        <w:ind w:leftChars="0"/>
        <w:rPr>
          <w:rFonts w:hint="eastAsia"/>
          <w:lang w:val="en-US" w:eastAsia="zh-CN"/>
        </w:rPr>
      </w:pPr>
      <w:r>
        <w:rPr>
          <w:rFonts w:hint="eastAsia"/>
          <w:lang w:val="en-US" w:eastAsia="zh-CN"/>
        </w:rPr>
        <w:t>2.5 deriveSSB-IndexFromCell and deriveSSB-IndexFromCell-inter</w:t>
      </w:r>
    </w:p>
    <w:p>
      <w:pPr>
        <w:pStyle w:val="4"/>
        <w:rPr>
          <w:rFonts w:hint="eastAsia" w:eastAsia="宋体"/>
          <w:color w:val="auto"/>
          <w:sz w:val="20"/>
          <w:szCs w:val="20"/>
          <w:highlight w:val="none"/>
          <w:lang w:val="en-US" w:eastAsia="zh-CN"/>
        </w:rPr>
      </w:pPr>
      <w:r>
        <w:rPr>
          <w:rFonts w:hint="eastAsia" w:eastAsia="宋体"/>
          <w:color w:val="auto"/>
          <w:sz w:val="20"/>
          <w:szCs w:val="20"/>
          <w:lang w:val="en-US" w:eastAsia="zh-CN"/>
        </w:rPr>
        <w:t xml:space="preserve">After the discussion in 105 meeting, regarding to </w:t>
      </w:r>
      <w:r>
        <w:rPr>
          <w:rFonts w:hint="default" w:eastAsia="宋体"/>
          <w:color w:val="auto"/>
          <w:sz w:val="20"/>
          <w:szCs w:val="20"/>
          <w:lang w:val="en-US" w:eastAsia="zh-CN"/>
        </w:rPr>
        <w:t>‘</w:t>
      </w:r>
      <w:r>
        <w:rPr>
          <w:rFonts w:hint="eastAsia" w:eastAsia="宋体"/>
          <w:color w:val="auto"/>
          <w:sz w:val="20"/>
          <w:szCs w:val="20"/>
          <w:lang w:val="en-US" w:eastAsia="zh-CN"/>
        </w:rPr>
        <w:t>deriveSSB-IndexFromCell</w:t>
      </w:r>
      <w:r>
        <w:rPr>
          <w:rFonts w:hint="default" w:eastAsia="宋体"/>
          <w:color w:val="auto"/>
          <w:sz w:val="20"/>
          <w:szCs w:val="20"/>
          <w:lang w:val="en-US" w:eastAsia="zh-CN"/>
        </w:rPr>
        <w:t>’</w:t>
      </w:r>
      <w:r>
        <w:rPr>
          <w:rFonts w:hint="eastAsia" w:eastAsia="宋体"/>
          <w:color w:val="auto"/>
          <w:sz w:val="20"/>
          <w:szCs w:val="20"/>
          <w:lang w:val="en-US" w:eastAsia="zh-CN"/>
        </w:rPr>
        <w:t xml:space="preserve"> and </w:t>
      </w:r>
      <w:r>
        <w:rPr>
          <w:rFonts w:hint="default" w:eastAsia="宋体"/>
          <w:color w:val="auto"/>
          <w:sz w:val="20"/>
          <w:szCs w:val="20"/>
          <w:lang w:val="en-US" w:eastAsia="zh-CN"/>
        </w:rPr>
        <w:t>‘</w:t>
      </w:r>
      <w:r>
        <w:rPr>
          <w:rFonts w:hint="eastAsia" w:eastAsia="宋体"/>
          <w:color w:val="auto"/>
          <w:sz w:val="20"/>
          <w:szCs w:val="20"/>
          <w:lang w:val="en-US" w:eastAsia="zh-CN"/>
        </w:rPr>
        <w:t>deriveSSB-IndexFromCell-inter</w:t>
      </w:r>
      <w:r>
        <w:rPr>
          <w:rFonts w:hint="default" w:eastAsia="宋体"/>
          <w:color w:val="auto"/>
          <w:sz w:val="20"/>
          <w:szCs w:val="20"/>
          <w:lang w:val="en-US" w:eastAsia="zh-CN"/>
        </w:rPr>
        <w:t>’</w:t>
      </w:r>
      <w:r>
        <w:rPr>
          <w:rFonts w:hint="eastAsia" w:eastAsia="宋体"/>
          <w:color w:val="auto"/>
          <w:sz w:val="20"/>
          <w:szCs w:val="20"/>
          <w:lang w:val="en-US" w:eastAsia="zh-CN"/>
        </w:rPr>
        <w:t xml:space="preserve">, the basic logic same as in legacy is identified, i.e. such two IE is decided by NW, NW decides to enable or disable the two IEs. </w:t>
      </w:r>
      <w:r>
        <w:rPr>
          <w:rFonts w:hint="eastAsia" w:eastAsia="宋体"/>
          <w:color w:val="auto"/>
          <w:sz w:val="20"/>
          <w:szCs w:val="20"/>
          <w:highlight w:val="none"/>
          <w:lang w:val="en-US" w:eastAsia="zh-CN"/>
        </w:rPr>
        <w:t xml:space="preserve">If indicated as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enable</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which means UE can derive the SSB index of neighbour cell from serving cell. Then the latency of SSB Index obtaining can be skipped. </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However it should be noted that in legacy specification[4], except for the NW indication, It is assumed that deriveSSB-IndexFromCell is always enabled for FR1 TDD and FR2. Such assumption maybe not suitable for ATG scenario since of the possible large propagation delay difference between the serving cell and target cell. So we are open to further discuss whether need to remove this assumption in legacy specification.</w:t>
      </w:r>
    </w:p>
    <w:p>
      <w:pPr>
        <w:pStyle w:val="4"/>
        <w:rPr>
          <w:rFonts w:hint="default" w:eastAsia="宋体"/>
          <w:sz w:val="20"/>
          <w:szCs w:val="20"/>
          <w:lang w:val="en-US" w:eastAsia="zh-CN"/>
        </w:rPr>
      </w:pPr>
      <w:r>
        <w:rPr>
          <w:rFonts w:hint="eastAsia" w:eastAsia="宋体" w:cs="Times New Roman"/>
          <w:b/>
          <w:bCs/>
          <w:color w:val="auto"/>
          <w:sz w:val="20"/>
          <w:szCs w:val="20"/>
          <w:highlight w:val="none"/>
          <w:lang w:val="en-US" w:eastAsia="zh-CN" w:bidi="ar-SA"/>
        </w:rPr>
        <w:t xml:space="preserve">Proposal 7: Since of possible large propagation delay difference between the serving cell and target cell in ATG scenario, the assumption of always enable ‘deriveSSB-IndexFromCell’ and ‘deriveSSB-IndexFromCell-inter’for FR1 TDD may be removed.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consideration of timing adjustment aspects for ATG system</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Based on the maximum distance between CPE and BS in ATG derived from the assumption of 100-200km ISD, UE based timing pre-compensation for PRACH transmission is necessary for ATG CPE.</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Regarding to the legacy 6 bits TAC, according to the value of max TA update, no need to introduce additional enhancement due to such 6 bits indication is enough to consider ATG CPE moving.</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Regarding to the legacy 12 bits TAC, according to the value of max TA, the supported Max one-trip distance between BS and CPE can be identified. By comparing with the observed maximum distance between ATG CPE and BS under different deployments, the following are suggested:</w:t>
      </w:r>
    </w:p>
    <w:p>
      <w:pPr>
        <w:pStyle w:val="4"/>
        <w:numPr>
          <w:ilvl w:val="0"/>
          <w:numId w:val="8"/>
        </w:numPr>
        <w:ind w:left="420" w:leftChars="0" w:hanging="420" w:firstLineChars="0"/>
        <w:rPr>
          <w:rFonts w:hint="eastAsia" w:eastAsia="宋体"/>
          <w:b/>
          <w:bCs/>
          <w:color w:val="auto"/>
          <w:sz w:val="20"/>
          <w:szCs w:val="20"/>
          <w:lang w:val="en-US" w:eastAsia="zh-CN"/>
        </w:rPr>
      </w:pPr>
      <w:r>
        <w:rPr>
          <w:rFonts w:hint="eastAsia" w:eastAsia="宋体"/>
          <w:b/>
          <w:bCs/>
          <w:color w:val="auto"/>
          <w:sz w:val="20"/>
          <w:szCs w:val="20"/>
          <w:lang w:val="en-US" w:eastAsia="zh-CN"/>
        </w:rPr>
        <w:t>Under the assumption of 15kHz SCS, since the supported max one-trip distance between ATG CPE and BS is large enough, so no need to enhance, not any additional solution is necessary.</w:t>
      </w:r>
    </w:p>
    <w:p>
      <w:pPr>
        <w:pStyle w:val="4"/>
        <w:numPr>
          <w:ilvl w:val="0"/>
          <w:numId w:val="8"/>
        </w:numPr>
        <w:ind w:left="420" w:leftChars="0" w:hanging="420" w:firstLineChars="0"/>
        <w:rPr>
          <w:rFonts w:hint="eastAsia" w:eastAsia="宋体"/>
          <w:b/>
          <w:bCs/>
          <w:color w:val="auto"/>
          <w:sz w:val="20"/>
          <w:szCs w:val="20"/>
          <w:lang w:val="en-US" w:eastAsia="zh-CN"/>
        </w:rPr>
      </w:pPr>
      <w:r>
        <w:rPr>
          <w:rFonts w:hint="eastAsia" w:eastAsia="宋体"/>
          <w:b/>
          <w:bCs/>
          <w:color w:val="auto"/>
          <w:sz w:val="20"/>
          <w:szCs w:val="20"/>
          <w:lang w:val="en-US" w:eastAsia="zh-CN"/>
        </w:rPr>
        <w:t xml:space="preserve">Under the assumption of 30kHz SCS, for different deployments, the conclusion is different. </w:t>
      </w:r>
    </w:p>
    <w:p>
      <w:pPr>
        <w:pStyle w:val="4"/>
        <w:numPr>
          <w:ilvl w:val="1"/>
          <w:numId w:val="8"/>
        </w:numPr>
        <w:ind w:left="840" w:leftChars="0" w:hanging="420" w:firstLineChars="0"/>
        <w:rPr>
          <w:rFonts w:hint="eastAsia" w:eastAsia="宋体"/>
          <w:b/>
          <w:bCs/>
          <w:color w:val="auto"/>
          <w:sz w:val="20"/>
          <w:szCs w:val="20"/>
          <w:lang w:val="en-US" w:eastAsia="zh-CN"/>
        </w:rPr>
      </w:pPr>
      <w:r>
        <w:rPr>
          <w:rFonts w:hint="eastAsia" w:eastAsia="宋体"/>
          <w:b/>
          <w:bCs/>
          <w:color w:val="auto"/>
          <w:sz w:val="20"/>
          <w:szCs w:val="20"/>
          <w:lang w:val="en-US" w:eastAsia="zh-CN"/>
        </w:rPr>
        <w:t>Under the traditional TN deployment, since the supported max one-trip distance between ATG CPE and BS is large enough, so no need to enhance, not any additional solution is necessary.</w:t>
      </w:r>
    </w:p>
    <w:p>
      <w:pPr>
        <w:pStyle w:val="4"/>
        <w:numPr>
          <w:ilvl w:val="1"/>
          <w:numId w:val="8"/>
        </w:numPr>
        <w:ind w:left="840" w:leftChars="0" w:hanging="420" w:firstLineChars="0"/>
        <w:rPr>
          <w:rFonts w:hint="eastAsia" w:eastAsia="宋体"/>
          <w:b/>
          <w:bCs/>
          <w:color w:val="auto"/>
          <w:sz w:val="20"/>
          <w:szCs w:val="20"/>
          <w:lang w:val="en-US" w:eastAsia="zh-CN"/>
        </w:rPr>
      </w:pPr>
      <w:r>
        <w:rPr>
          <w:rFonts w:hint="eastAsia" w:eastAsia="宋体"/>
          <w:b/>
          <w:bCs/>
          <w:color w:val="auto"/>
          <w:sz w:val="20"/>
          <w:szCs w:val="20"/>
          <w:lang w:val="en-US" w:eastAsia="zh-CN"/>
        </w:rPr>
        <w:t>Under the horizon beam coverage deployment, the supported max one-trip distance between ATG CPE and BS is not enough to cover the maximum distance between ATG CPE and BS, so some additional solution is necessary, e.g. introducing OL TA.</w:t>
      </w:r>
    </w:p>
    <w:p>
      <w:pPr>
        <w:pStyle w:val="4"/>
        <w:numPr>
          <w:ilvl w:val="0"/>
          <w:numId w:val="8"/>
        </w:numPr>
        <w:ind w:left="420" w:leftChars="0" w:hanging="420" w:firstLineChars="0"/>
        <w:rPr>
          <w:rFonts w:hint="eastAsia" w:eastAsia="宋体"/>
          <w:b/>
          <w:bCs/>
          <w:color w:val="auto"/>
          <w:sz w:val="20"/>
          <w:szCs w:val="20"/>
          <w:lang w:val="en-US" w:eastAsia="zh-CN"/>
        </w:rPr>
      </w:pPr>
      <w:r>
        <w:rPr>
          <w:rFonts w:hint="eastAsia" w:eastAsia="宋体"/>
          <w:b/>
          <w:bCs/>
          <w:color w:val="auto"/>
          <w:sz w:val="20"/>
          <w:szCs w:val="20"/>
          <w:lang w:val="en-US" w:eastAsia="zh-CN"/>
        </w:rPr>
        <w:t>Under the assumption of 60kHz SCS, the supported max one-trip distance between ATG CPE and BS can not cover the maximum distance between ATG CPE and BS, no matter for each deployment, some additional solution is necessary, e.g. introducing OL TA.</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Regarding to whether introducing the mechanism of </w:t>
      </w:r>
      <w:r>
        <w:rPr>
          <w:rFonts w:eastAsia="宋体" w:cs="Times New Roman"/>
          <w:b/>
          <w:bCs/>
          <w:color w:val="auto"/>
          <w:sz w:val="20"/>
          <w:szCs w:val="20"/>
        </w:rPr>
        <w:t>K</w:t>
      </w:r>
      <w:r>
        <w:rPr>
          <w:rFonts w:eastAsia="宋体" w:cs="Times New Roman"/>
          <w:b/>
          <w:bCs/>
          <w:color w:val="auto"/>
          <w:sz w:val="20"/>
          <w:szCs w:val="20"/>
          <w:vertAlign w:val="subscript"/>
        </w:rPr>
        <w:t>offset</w:t>
      </w:r>
      <w:r>
        <w:rPr>
          <w:rFonts w:hint="eastAsia" w:cs="Times New Roman"/>
          <w:b/>
          <w:bCs/>
          <w:color w:val="auto"/>
          <w:kern w:val="44"/>
          <w:sz w:val="20"/>
          <w:szCs w:val="20"/>
          <w:lang w:val="en-US" w:eastAsia="zh-CN" w:bidi="ar-SA"/>
        </w:rPr>
        <w:t xml:space="preserve"> </w:t>
      </w:r>
      <w:r>
        <w:rPr>
          <w:rFonts w:hint="eastAsia" w:eastAsia="宋体" w:cs="Times New Roman"/>
          <w:b/>
          <w:bCs/>
          <w:color w:val="auto"/>
          <w:sz w:val="20"/>
          <w:szCs w:val="20"/>
          <w:highlight w:val="none"/>
          <w:lang w:val="en-US" w:eastAsia="zh-CN" w:bidi="ar-SA"/>
        </w:rPr>
        <w:t>similar as in NTN, after analysis each case of deployment, we have the following suggestion:</w:t>
      </w:r>
    </w:p>
    <w:p>
      <w:pPr>
        <w:pStyle w:val="4"/>
        <w:numPr>
          <w:ilvl w:val="0"/>
          <w:numId w:val="9"/>
        </w:numPr>
        <w:ind w:left="420" w:leftChars="0" w:hanging="420" w:firstLineChars="0"/>
        <w:jc w:val="both"/>
        <w:rPr>
          <w:rFonts w:hint="eastAsia" w:cs="Times New Roman"/>
          <w:b/>
          <w:bCs/>
          <w:color w:val="auto"/>
          <w:kern w:val="44"/>
          <w:sz w:val="20"/>
          <w:szCs w:val="20"/>
          <w:lang w:val="en-US" w:eastAsia="zh-CN" w:bidi="ar-SA"/>
        </w:rPr>
      </w:pPr>
      <w:r>
        <w:rPr>
          <w:rFonts w:hint="eastAsia" w:eastAsia="宋体"/>
          <w:b/>
          <w:bCs/>
          <w:color w:val="auto"/>
          <w:sz w:val="20"/>
          <w:szCs w:val="20"/>
          <w:lang w:val="en-US" w:eastAsia="zh-CN"/>
        </w:rPr>
        <w:t xml:space="preserve">For the case of 15 kHz SCS, not need to introduce </w:t>
      </w:r>
      <w:r>
        <w:rPr>
          <w:rFonts w:eastAsia="宋体" w:cs="Times New Roman"/>
          <w:b/>
          <w:bCs/>
          <w:color w:val="auto"/>
          <w:sz w:val="20"/>
          <w:szCs w:val="20"/>
        </w:rPr>
        <w:t>K</w:t>
      </w:r>
      <w:r>
        <w:rPr>
          <w:rFonts w:eastAsia="宋体" w:cs="Times New Roman"/>
          <w:b/>
          <w:bCs/>
          <w:color w:val="auto"/>
          <w:sz w:val="20"/>
          <w:szCs w:val="20"/>
          <w:vertAlign w:val="subscript"/>
        </w:rPr>
        <w:t>offset</w:t>
      </w:r>
      <w:r>
        <w:rPr>
          <w:rFonts w:hint="eastAsia" w:cs="Times New Roman"/>
          <w:b/>
          <w:bCs/>
          <w:color w:val="auto"/>
          <w:kern w:val="44"/>
          <w:sz w:val="20"/>
          <w:szCs w:val="20"/>
          <w:lang w:val="en-US" w:eastAsia="zh-CN" w:bidi="ar-SA"/>
        </w:rPr>
        <w:t xml:space="preserve"> for each deployment;</w:t>
      </w:r>
    </w:p>
    <w:p>
      <w:pPr>
        <w:pStyle w:val="4"/>
        <w:numPr>
          <w:ilvl w:val="0"/>
          <w:numId w:val="9"/>
        </w:numPr>
        <w:ind w:left="420" w:leftChars="0" w:hanging="420" w:firstLineChars="0"/>
        <w:jc w:val="both"/>
        <w:rPr>
          <w:rFonts w:hint="eastAsia" w:cs="Times New Roman"/>
          <w:b/>
          <w:bCs/>
          <w:color w:val="auto"/>
          <w:kern w:val="44"/>
          <w:sz w:val="20"/>
          <w:szCs w:val="20"/>
          <w:lang w:val="en-US" w:eastAsia="zh-CN" w:bidi="ar-SA"/>
        </w:rPr>
      </w:pPr>
      <w:r>
        <w:rPr>
          <w:rFonts w:hint="eastAsia" w:cs="Times New Roman"/>
          <w:b/>
          <w:bCs/>
          <w:color w:val="auto"/>
          <w:kern w:val="44"/>
          <w:sz w:val="20"/>
          <w:szCs w:val="20"/>
          <w:lang w:val="en-US" w:eastAsia="zh-CN" w:bidi="ar-SA"/>
        </w:rPr>
        <w:t xml:space="preserve">For the case of 30 kHz SCS, for the the traditional TN deployment, not need to </w:t>
      </w:r>
      <w:r>
        <w:rPr>
          <w:rFonts w:hint="eastAsia" w:eastAsia="宋体"/>
          <w:b/>
          <w:bCs/>
          <w:color w:val="auto"/>
          <w:sz w:val="20"/>
          <w:szCs w:val="20"/>
          <w:lang w:val="en-US" w:eastAsia="zh-CN"/>
        </w:rPr>
        <w:t xml:space="preserve">introduce </w:t>
      </w:r>
      <w:r>
        <w:rPr>
          <w:rFonts w:eastAsia="宋体" w:cs="Times New Roman"/>
          <w:b/>
          <w:bCs/>
          <w:color w:val="auto"/>
          <w:sz w:val="20"/>
          <w:szCs w:val="20"/>
        </w:rPr>
        <w:t>K</w:t>
      </w:r>
      <w:r>
        <w:rPr>
          <w:rFonts w:eastAsia="宋体" w:cs="Times New Roman"/>
          <w:b/>
          <w:bCs/>
          <w:color w:val="auto"/>
          <w:sz w:val="20"/>
          <w:szCs w:val="20"/>
          <w:vertAlign w:val="subscript"/>
        </w:rPr>
        <w:t>offset</w:t>
      </w:r>
      <w:r>
        <w:rPr>
          <w:rFonts w:hint="eastAsia" w:eastAsia="宋体"/>
          <w:b/>
          <w:bCs/>
          <w:color w:val="auto"/>
          <w:sz w:val="20"/>
          <w:szCs w:val="20"/>
          <w:lang w:val="en-US" w:eastAsia="zh-CN"/>
        </w:rPr>
        <w:t xml:space="preserve">, while for the horizon beam coverage deployment, need to introduce </w:t>
      </w:r>
      <w:r>
        <w:rPr>
          <w:rFonts w:eastAsia="宋体" w:cs="Times New Roman"/>
          <w:b/>
          <w:bCs/>
          <w:color w:val="auto"/>
          <w:sz w:val="20"/>
          <w:szCs w:val="20"/>
        </w:rPr>
        <w:t>K</w:t>
      </w:r>
      <w:r>
        <w:rPr>
          <w:rFonts w:eastAsia="宋体" w:cs="Times New Roman"/>
          <w:b/>
          <w:bCs/>
          <w:color w:val="auto"/>
          <w:sz w:val="20"/>
          <w:szCs w:val="20"/>
          <w:vertAlign w:val="subscript"/>
        </w:rPr>
        <w:t>offset</w:t>
      </w:r>
      <w:r>
        <w:rPr>
          <w:rFonts w:hint="eastAsia" w:eastAsia="宋体" w:cs="Times New Roman"/>
          <w:b/>
          <w:bCs/>
          <w:color w:val="auto"/>
          <w:sz w:val="20"/>
          <w:szCs w:val="20"/>
          <w:vertAlign w:val="subscript"/>
          <w:lang w:val="en-US" w:eastAsia="zh-CN"/>
        </w:rPr>
        <w:t xml:space="preserve"> </w:t>
      </w:r>
      <w:r>
        <w:rPr>
          <w:rFonts w:hint="eastAsia" w:cs="Times New Roman"/>
          <w:b/>
          <w:bCs/>
          <w:color w:val="auto"/>
          <w:kern w:val="44"/>
          <w:sz w:val="20"/>
          <w:szCs w:val="20"/>
          <w:lang w:val="en-US" w:eastAsia="zh-CN" w:bidi="ar-SA"/>
        </w:rPr>
        <w:t>mechanism;</w:t>
      </w:r>
    </w:p>
    <w:p>
      <w:pPr>
        <w:pStyle w:val="4"/>
        <w:numPr>
          <w:ilvl w:val="0"/>
          <w:numId w:val="9"/>
        </w:numPr>
        <w:ind w:left="420" w:leftChars="0" w:hanging="420" w:firstLineChars="0"/>
        <w:jc w:val="both"/>
        <w:rPr>
          <w:rFonts w:hint="eastAsia" w:cs="Times New Roman"/>
          <w:b/>
          <w:bCs/>
          <w:color w:val="auto"/>
          <w:kern w:val="44"/>
          <w:sz w:val="20"/>
          <w:szCs w:val="20"/>
          <w:lang w:val="en-US" w:eastAsia="zh-CN" w:bidi="ar-SA"/>
        </w:rPr>
      </w:pPr>
      <w:r>
        <w:rPr>
          <w:rFonts w:hint="eastAsia" w:cs="Times New Roman"/>
          <w:b/>
          <w:bCs/>
          <w:color w:val="auto"/>
          <w:kern w:val="44"/>
          <w:sz w:val="20"/>
          <w:szCs w:val="20"/>
          <w:lang w:val="en-US" w:eastAsia="zh-CN" w:bidi="ar-SA"/>
        </w:rPr>
        <w:t xml:space="preserve">For the case of 60 kHz SCS, </w:t>
      </w:r>
      <w:r>
        <w:rPr>
          <w:rFonts w:hint="eastAsia" w:eastAsia="宋体"/>
          <w:b/>
          <w:bCs/>
          <w:color w:val="auto"/>
          <w:sz w:val="20"/>
          <w:szCs w:val="20"/>
          <w:lang w:val="en-US" w:eastAsia="zh-CN"/>
        </w:rPr>
        <w:t xml:space="preserve">need to introduce </w:t>
      </w:r>
      <w:r>
        <w:rPr>
          <w:rFonts w:eastAsia="宋体" w:cs="Times New Roman"/>
          <w:b/>
          <w:bCs/>
          <w:color w:val="auto"/>
          <w:sz w:val="20"/>
          <w:szCs w:val="20"/>
        </w:rPr>
        <w:t>K</w:t>
      </w:r>
      <w:r>
        <w:rPr>
          <w:rFonts w:eastAsia="宋体" w:cs="Times New Roman"/>
          <w:b/>
          <w:bCs/>
          <w:color w:val="auto"/>
          <w:sz w:val="20"/>
          <w:szCs w:val="20"/>
          <w:vertAlign w:val="subscript"/>
        </w:rPr>
        <w:t>offset</w:t>
      </w:r>
      <w:r>
        <w:rPr>
          <w:rFonts w:hint="eastAsia" w:cs="Times New Roman"/>
          <w:b/>
          <w:bCs/>
          <w:color w:val="auto"/>
          <w:kern w:val="44"/>
          <w:sz w:val="20"/>
          <w:szCs w:val="20"/>
          <w:lang w:val="en-US" w:eastAsia="zh-CN" w:bidi="ar-SA"/>
        </w:rPr>
        <w:t xml:space="preserve"> for each deployment.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Due to high speed moving of up to 1200 km/h, a larger time drift is leaded to. If applying the gradual timing adjustment Tp and Tq to trace such larger time drift, the requirements of Tp/Tq need some enhancement to support ATG scenario.</w:t>
      </w:r>
    </w:p>
    <w:p>
      <w:pPr>
        <w:pStyle w:val="4"/>
        <w:rPr>
          <w:rFonts w:hint="eastAsia"/>
          <w:lang w:val="en-US" w:eastAsia="zh-CN"/>
        </w:rPr>
      </w:pPr>
      <w:r>
        <w:rPr>
          <w:rFonts w:hint="eastAsia" w:eastAsia="宋体" w:cs="Times New Roman"/>
          <w:b/>
          <w:bCs/>
          <w:color w:val="auto"/>
          <w:sz w:val="20"/>
          <w:szCs w:val="20"/>
          <w:highlight w:val="none"/>
          <w:lang w:val="en-US" w:eastAsia="zh-CN" w:bidi="ar-SA"/>
        </w:rPr>
        <w:t>Proposal 5: Considering such large time drift can be handled by OL TA, and based on our analysis, under some cases, OL TA is necessary to make up the legacy CL TA, so maybe such large time drift can be handled by OL TA. In such case, no need to enhance the requirements of Tp/Tq.</w:t>
      </w:r>
    </w:p>
    <w:p>
      <w:pPr>
        <w:pStyle w:val="4"/>
        <w:rPr>
          <w:rFonts w:hint="eastAsia"/>
          <w:lang w:val="en-US" w:eastAsia="zh-CN"/>
        </w:rPr>
      </w:pPr>
      <w:r>
        <w:rPr>
          <w:rFonts w:hint="eastAsia" w:eastAsia="宋体" w:cs="Times New Roman"/>
          <w:b/>
          <w:bCs/>
          <w:color w:val="auto"/>
          <w:sz w:val="20"/>
          <w:szCs w:val="20"/>
          <w:highlight w:val="none"/>
          <w:lang w:val="en-US" w:eastAsia="zh-CN" w:bidi="ar-SA"/>
        </w:rPr>
        <w:t>Proposal 6: If additional OL TA mechanism would be introduced besides legacy CL TA, we are open to further discuss whether the legacy R15 Te can be reused. Otherwise, we believe reusing legacy R15 Te is fine.</w:t>
      </w:r>
    </w:p>
    <w:p>
      <w:pPr>
        <w:pStyle w:val="4"/>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 xml:space="preserve">Proposal 7: Since of possible large propagation delay difference between the serving cell and target cell in ATG scenario, the assumption of always enable ‘deriveSSB-IndexFromCell’ and ‘deriveSSB-IndexFromCell-inter’for FR1 TDD may be removed.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1369</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on Air-to-ground network for NR</w:t>
      </w:r>
      <w:r>
        <w:rPr>
          <w:rFonts w:hint="default"/>
          <w:color w:val="auto"/>
          <w:highlight w:val="none"/>
          <w:lang w:val="en-US" w:eastAsia="zh-CN"/>
        </w:rPr>
        <w:t>”</w:t>
      </w:r>
      <w:r>
        <w:rPr>
          <w:rFonts w:hint="eastAsia"/>
          <w:color w:val="auto"/>
          <w:highlight w:val="none"/>
          <w:lang w:val="en-US" w:eastAsia="zh-CN"/>
        </w:rPr>
        <w:t xml:space="preserve">, CMCC </w:t>
      </w:r>
    </w:p>
    <w:p>
      <w:pPr>
        <w:pStyle w:val="9"/>
        <w:numPr>
          <w:ilvl w:val="0"/>
          <w:numId w:val="0"/>
        </w:numPr>
        <w:ind w:leftChars="0"/>
        <w:rPr>
          <w:rFonts w:hint="default" w:eastAsia="宋体"/>
          <w:color w:val="auto"/>
          <w:lang w:val="en-US" w:eastAsia="zh-CN"/>
        </w:rPr>
      </w:pPr>
      <w:r>
        <w:rPr>
          <w:rFonts w:hint="eastAsia"/>
          <w:color w:val="auto"/>
          <w:lang w:val="en-US" w:eastAsia="zh-CN"/>
        </w:rPr>
        <w:t xml:space="preserve">[2] RP-2220361 </w:t>
      </w:r>
      <w:r>
        <w:rPr>
          <w:rFonts w:hint="default"/>
          <w:color w:val="auto"/>
          <w:lang w:val="en-US" w:eastAsia="zh-CN"/>
        </w:rPr>
        <w:t>“</w:t>
      </w:r>
      <w:bookmarkStart w:id="2" w:name="_Hlk41145953"/>
      <w:r>
        <w:rPr>
          <w:rFonts w:hint="default"/>
          <w:color w:val="auto"/>
          <w:lang w:val="en-US" w:eastAsia="zh-CN"/>
        </w:rPr>
        <w:t>WF on NR ATG RRM</w:t>
      </w:r>
      <w:bookmarkEnd w:id="2"/>
      <w:r>
        <w:rPr>
          <w:rFonts w:hint="default"/>
          <w:color w:val="auto"/>
          <w:lang w:val="en-US" w:eastAsia="zh-CN"/>
        </w:rPr>
        <w:t xml:space="preserve"> requirements”</w:t>
      </w:r>
      <w:r>
        <w:rPr>
          <w:rFonts w:hint="eastAsia"/>
          <w:color w:val="auto"/>
          <w:lang w:val="en-US" w:eastAsia="zh-CN"/>
        </w:rPr>
        <w:t>, CMCC</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R4-2301398 </w:t>
      </w:r>
      <w:r>
        <w:rPr>
          <w:rFonts w:hint="default"/>
          <w:color w:val="auto"/>
          <w:highlight w:val="none"/>
          <w:lang w:val="en-US" w:eastAsia="zh-CN"/>
        </w:rPr>
        <w:t>“Discussion on general aspects for air-to-ground network for NR”</w:t>
      </w:r>
      <w:r>
        <w:rPr>
          <w:rFonts w:hint="eastAsia"/>
          <w:color w:val="auto"/>
          <w:highlight w:val="none"/>
          <w:lang w:val="en-US" w:eastAsia="zh-CN"/>
        </w:rPr>
        <w:t>, ZTE Corporation</w:t>
      </w:r>
    </w:p>
    <w:p>
      <w:pPr>
        <w:pStyle w:val="9"/>
        <w:numPr>
          <w:ilvl w:val="0"/>
          <w:numId w:val="0"/>
        </w:numPr>
        <w:ind w:leftChars="0"/>
        <w:rPr>
          <w:rFonts w:hint="eastAsia"/>
          <w:color w:val="auto"/>
          <w:lang w:val="en-US" w:eastAsia="zh-CN"/>
        </w:rPr>
      </w:pPr>
      <w:r>
        <w:rPr>
          <w:rFonts w:hint="eastAsia"/>
          <w:color w:val="auto"/>
          <w:lang w:val="en-US" w:eastAsia="zh-CN"/>
        </w:rPr>
        <w:t>[4] TS38.133-h80</w:t>
      </w:r>
    </w:p>
    <w:p>
      <w:pPr>
        <w:pStyle w:val="9"/>
        <w:numPr>
          <w:ilvl w:val="0"/>
          <w:numId w:val="0"/>
        </w:numPr>
        <w:ind w:leftChars="0"/>
        <w:rPr>
          <w:rFonts w:hint="default" w:eastAsia="宋体"/>
          <w:color w:val="auto"/>
          <w:lang w:val="en-US" w:eastAsia="zh-CN"/>
        </w:rPr>
      </w:pPr>
      <w:r>
        <w:rPr>
          <w:rFonts w:hint="eastAsia"/>
          <w:lang w:val="en-US" w:eastAsia="zh-CN"/>
        </w:rPr>
        <w:t xml:space="preserve">[5] </w:t>
      </w:r>
      <w:r>
        <w:rPr>
          <w:lang w:val="en-US"/>
        </w:rPr>
        <w:t>TS 38.213</w:t>
      </w:r>
      <w:r>
        <w:rPr>
          <w:rFonts w:hint="eastAsia"/>
          <w:lang w:val="en-US" w:eastAsia="zh-CN"/>
        </w:rPr>
        <w:t>-h40</w:t>
      </w: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A6192C"/>
    <w:multiLevelType w:val="singleLevel"/>
    <w:tmpl w:val="81A6192C"/>
    <w:lvl w:ilvl="0" w:tentative="0">
      <w:start w:val="1"/>
      <w:numFmt w:val="bullet"/>
      <w:lvlText w:val=""/>
      <w:lvlJc w:val="left"/>
      <w:pPr>
        <w:ind w:left="420" w:hanging="420"/>
      </w:pPr>
      <w:rPr>
        <w:rFonts w:hint="default" w:ascii="Wingdings" w:hAnsi="Wingdings"/>
      </w:rPr>
    </w:lvl>
  </w:abstractNum>
  <w:abstractNum w:abstractNumId="1">
    <w:nsid w:val="81E88E5B"/>
    <w:multiLevelType w:val="singleLevel"/>
    <w:tmpl w:val="81E88E5B"/>
    <w:lvl w:ilvl="0" w:tentative="0">
      <w:start w:val="1"/>
      <w:numFmt w:val="decimal"/>
      <w:suff w:val="space"/>
      <w:lvlText w:val="[%1]"/>
      <w:lvlJc w:val="left"/>
    </w:lvl>
  </w:abstractNum>
  <w:abstractNum w:abstractNumId="2">
    <w:nsid w:val="BDC37CB5"/>
    <w:multiLevelType w:val="singleLevel"/>
    <w:tmpl w:val="BDC37CB5"/>
    <w:lvl w:ilvl="0" w:tentative="0">
      <w:start w:val="1"/>
      <w:numFmt w:val="bullet"/>
      <w:lvlText w:val=""/>
      <w:lvlJc w:val="left"/>
      <w:pPr>
        <w:ind w:left="420" w:hanging="420"/>
      </w:pPr>
      <w:rPr>
        <w:rFonts w:hint="default" w:ascii="Wingdings" w:hAnsi="Wingdings"/>
      </w:rPr>
    </w:lvl>
  </w:abstractNum>
  <w:abstractNum w:abstractNumId="3">
    <w:nsid w:val="FA6A68DA"/>
    <w:multiLevelType w:val="multilevel"/>
    <w:tmpl w:val="FA6A68D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7">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7"/>
  </w:num>
  <w:num w:numId="3">
    <w:abstractNumId w:val="4"/>
  </w:num>
  <w:num w:numId="4">
    <w:abstractNumId w:val="5"/>
  </w:num>
  <w:num w:numId="5">
    <w:abstractNumId w:val="8"/>
  </w:num>
  <w:num w:numId="6">
    <w:abstractNumId w:val="6"/>
  </w:num>
  <w:num w:numId="7">
    <w:abstractNumId w:val="0"/>
  </w:num>
  <w:num w:numId="8">
    <w:abstractNumId w:val="3"/>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401641"/>
    <w:rsid w:val="06963BA6"/>
    <w:rsid w:val="07CD3CDD"/>
    <w:rsid w:val="083E6EA0"/>
    <w:rsid w:val="0855671D"/>
    <w:rsid w:val="089009EB"/>
    <w:rsid w:val="08EA2407"/>
    <w:rsid w:val="09716BCA"/>
    <w:rsid w:val="099E0FAE"/>
    <w:rsid w:val="09D64B23"/>
    <w:rsid w:val="09E644B8"/>
    <w:rsid w:val="0A1C7F03"/>
    <w:rsid w:val="0A867423"/>
    <w:rsid w:val="0AB155C2"/>
    <w:rsid w:val="0B12013A"/>
    <w:rsid w:val="0B3D3C2F"/>
    <w:rsid w:val="0BB0429A"/>
    <w:rsid w:val="0BDD6CEC"/>
    <w:rsid w:val="0BFF5FC6"/>
    <w:rsid w:val="0C394019"/>
    <w:rsid w:val="0CD05342"/>
    <w:rsid w:val="0CDB4E5B"/>
    <w:rsid w:val="0CF11916"/>
    <w:rsid w:val="0D5201AB"/>
    <w:rsid w:val="0DEE745F"/>
    <w:rsid w:val="0FAD3D1E"/>
    <w:rsid w:val="10207CA1"/>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B07FBC"/>
    <w:rsid w:val="180A6E32"/>
    <w:rsid w:val="183F2CD2"/>
    <w:rsid w:val="1856323E"/>
    <w:rsid w:val="185D2497"/>
    <w:rsid w:val="18AF55E3"/>
    <w:rsid w:val="18B077E2"/>
    <w:rsid w:val="18B1519A"/>
    <w:rsid w:val="18CD0507"/>
    <w:rsid w:val="18E471EF"/>
    <w:rsid w:val="18F36BA5"/>
    <w:rsid w:val="192558B8"/>
    <w:rsid w:val="195D7D48"/>
    <w:rsid w:val="1AD01A1B"/>
    <w:rsid w:val="1B61065A"/>
    <w:rsid w:val="1BBF3927"/>
    <w:rsid w:val="1BE40118"/>
    <w:rsid w:val="1C177B08"/>
    <w:rsid w:val="1C9001C6"/>
    <w:rsid w:val="1CBA2101"/>
    <w:rsid w:val="1D0573D7"/>
    <w:rsid w:val="1D153DC4"/>
    <w:rsid w:val="1D223E0B"/>
    <w:rsid w:val="1D317C9F"/>
    <w:rsid w:val="1E132F88"/>
    <w:rsid w:val="1E2867E9"/>
    <w:rsid w:val="1E853F6F"/>
    <w:rsid w:val="1E9C7BCC"/>
    <w:rsid w:val="1ECC1E3C"/>
    <w:rsid w:val="208364FC"/>
    <w:rsid w:val="208953F9"/>
    <w:rsid w:val="20AA18E5"/>
    <w:rsid w:val="21014C39"/>
    <w:rsid w:val="21244EB1"/>
    <w:rsid w:val="213964D8"/>
    <w:rsid w:val="21595D04"/>
    <w:rsid w:val="21774630"/>
    <w:rsid w:val="21F13629"/>
    <w:rsid w:val="223236B6"/>
    <w:rsid w:val="2255462C"/>
    <w:rsid w:val="2305377E"/>
    <w:rsid w:val="23901822"/>
    <w:rsid w:val="24122135"/>
    <w:rsid w:val="24D4257E"/>
    <w:rsid w:val="2572202B"/>
    <w:rsid w:val="258B7C43"/>
    <w:rsid w:val="25B00E1B"/>
    <w:rsid w:val="2605683C"/>
    <w:rsid w:val="26BB1419"/>
    <w:rsid w:val="27B748AA"/>
    <w:rsid w:val="27CB4CB9"/>
    <w:rsid w:val="281B0617"/>
    <w:rsid w:val="281C2F58"/>
    <w:rsid w:val="282E010A"/>
    <w:rsid w:val="29642C4B"/>
    <w:rsid w:val="2A34628C"/>
    <w:rsid w:val="2A3B006D"/>
    <w:rsid w:val="2A724D05"/>
    <w:rsid w:val="2A7E505C"/>
    <w:rsid w:val="2AC85686"/>
    <w:rsid w:val="2AD04B5F"/>
    <w:rsid w:val="2AF443E5"/>
    <w:rsid w:val="2B8A3934"/>
    <w:rsid w:val="2BC05B2C"/>
    <w:rsid w:val="2BD617C5"/>
    <w:rsid w:val="2C112837"/>
    <w:rsid w:val="2C9B1252"/>
    <w:rsid w:val="2C9C2786"/>
    <w:rsid w:val="2CC13667"/>
    <w:rsid w:val="2D794401"/>
    <w:rsid w:val="2E014790"/>
    <w:rsid w:val="2EE77680"/>
    <w:rsid w:val="2F2F0FC8"/>
    <w:rsid w:val="2FA70460"/>
    <w:rsid w:val="301C6BB6"/>
    <w:rsid w:val="30F11994"/>
    <w:rsid w:val="319708F2"/>
    <w:rsid w:val="31A8260E"/>
    <w:rsid w:val="31B14C9E"/>
    <w:rsid w:val="332B149D"/>
    <w:rsid w:val="33C522D7"/>
    <w:rsid w:val="344C156B"/>
    <w:rsid w:val="34807672"/>
    <w:rsid w:val="35B06C6A"/>
    <w:rsid w:val="366149EB"/>
    <w:rsid w:val="36941AA2"/>
    <w:rsid w:val="36D37423"/>
    <w:rsid w:val="379D23F9"/>
    <w:rsid w:val="396B32D2"/>
    <w:rsid w:val="3A185287"/>
    <w:rsid w:val="3A1F46B8"/>
    <w:rsid w:val="3A692CD0"/>
    <w:rsid w:val="3AAE4AA7"/>
    <w:rsid w:val="3AF23299"/>
    <w:rsid w:val="3B270929"/>
    <w:rsid w:val="3B3D5571"/>
    <w:rsid w:val="3B673620"/>
    <w:rsid w:val="3B9A1F29"/>
    <w:rsid w:val="3BF631F5"/>
    <w:rsid w:val="3C765285"/>
    <w:rsid w:val="3CE4646B"/>
    <w:rsid w:val="3CFC1228"/>
    <w:rsid w:val="3D5E7AA8"/>
    <w:rsid w:val="3D6F2596"/>
    <w:rsid w:val="3D946587"/>
    <w:rsid w:val="405F175E"/>
    <w:rsid w:val="40C765F3"/>
    <w:rsid w:val="40FE7215"/>
    <w:rsid w:val="42F869D2"/>
    <w:rsid w:val="43553536"/>
    <w:rsid w:val="44972678"/>
    <w:rsid w:val="451632B9"/>
    <w:rsid w:val="45262990"/>
    <w:rsid w:val="45906394"/>
    <w:rsid w:val="45B415CB"/>
    <w:rsid w:val="45F60A50"/>
    <w:rsid w:val="46142D0C"/>
    <w:rsid w:val="46263A53"/>
    <w:rsid w:val="46970A81"/>
    <w:rsid w:val="46B036BF"/>
    <w:rsid w:val="46CC320F"/>
    <w:rsid w:val="47282363"/>
    <w:rsid w:val="472C785C"/>
    <w:rsid w:val="47810C98"/>
    <w:rsid w:val="47924F0A"/>
    <w:rsid w:val="47D2373B"/>
    <w:rsid w:val="48F407FD"/>
    <w:rsid w:val="49DC4EAC"/>
    <w:rsid w:val="49E55BC5"/>
    <w:rsid w:val="4A5D0BB5"/>
    <w:rsid w:val="4A912B7F"/>
    <w:rsid w:val="4B600E77"/>
    <w:rsid w:val="4B8F684D"/>
    <w:rsid w:val="4BF02011"/>
    <w:rsid w:val="4C1C63D6"/>
    <w:rsid w:val="4C2775C3"/>
    <w:rsid w:val="4C2D52ED"/>
    <w:rsid w:val="4C4B2837"/>
    <w:rsid w:val="4C864A35"/>
    <w:rsid w:val="4D207A05"/>
    <w:rsid w:val="4D53283E"/>
    <w:rsid w:val="4E015C76"/>
    <w:rsid w:val="4E310026"/>
    <w:rsid w:val="4E4A2325"/>
    <w:rsid w:val="4FC7362A"/>
    <w:rsid w:val="501A6C55"/>
    <w:rsid w:val="51522B0F"/>
    <w:rsid w:val="515B1740"/>
    <w:rsid w:val="51B14BED"/>
    <w:rsid w:val="52526454"/>
    <w:rsid w:val="525C1CEF"/>
    <w:rsid w:val="528B5767"/>
    <w:rsid w:val="52D33625"/>
    <w:rsid w:val="534273EB"/>
    <w:rsid w:val="53A3105E"/>
    <w:rsid w:val="53C64B93"/>
    <w:rsid w:val="548A6C60"/>
    <w:rsid w:val="55B1164D"/>
    <w:rsid w:val="55B4735E"/>
    <w:rsid w:val="55BB221D"/>
    <w:rsid w:val="56371459"/>
    <w:rsid w:val="56484633"/>
    <w:rsid w:val="57FF4799"/>
    <w:rsid w:val="58D0053D"/>
    <w:rsid w:val="59165279"/>
    <w:rsid w:val="595A2A3C"/>
    <w:rsid w:val="598C40A0"/>
    <w:rsid w:val="59DA647E"/>
    <w:rsid w:val="5A556E1A"/>
    <w:rsid w:val="5BA06278"/>
    <w:rsid w:val="5BF92FF2"/>
    <w:rsid w:val="5C924E81"/>
    <w:rsid w:val="5E2864D0"/>
    <w:rsid w:val="5E494511"/>
    <w:rsid w:val="5EB44FC0"/>
    <w:rsid w:val="5F5D3CFF"/>
    <w:rsid w:val="5FBA395F"/>
    <w:rsid w:val="60094E5C"/>
    <w:rsid w:val="606F38F4"/>
    <w:rsid w:val="60EC2CBA"/>
    <w:rsid w:val="61CC2D28"/>
    <w:rsid w:val="63431026"/>
    <w:rsid w:val="635902CD"/>
    <w:rsid w:val="64706BBE"/>
    <w:rsid w:val="64F2095B"/>
    <w:rsid w:val="65A16A49"/>
    <w:rsid w:val="674E154D"/>
    <w:rsid w:val="67A858DB"/>
    <w:rsid w:val="67FE4166"/>
    <w:rsid w:val="684A154D"/>
    <w:rsid w:val="68C401C3"/>
    <w:rsid w:val="69A833BD"/>
    <w:rsid w:val="69EF6835"/>
    <w:rsid w:val="6D566F0F"/>
    <w:rsid w:val="6D836F72"/>
    <w:rsid w:val="6DDE3DAF"/>
    <w:rsid w:val="6E3241BE"/>
    <w:rsid w:val="6EB97A9D"/>
    <w:rsid w:val="6EEC187D"/>
    <w:rsid w:val="6EF10A90"/>
    <w:rsid w:val="6EFC7DED"/>
    <w:rsid w:val="6F077DB2"/>
    <w:rsid w:val="6F2A7FBF"/>
    <w:rsid w:val="6FEB76BE"/>
    <w:rsid w:val="6FFF1868"/>
    <w:rsid w:val="70025DE4"/>
    <w:rsid w:val="715F4C2D"/>
    <w:rsid w:val="722F78FB"/>
    <w:rsid w:val="723C2F8E"/>
    <w:rsid w:val="723D67C5"/>
    <w:rsid w:val="726A5F44"/>
    <w:rsid w:val="72793AC9"/>
    <w:rsid w:val="72BF60CA"/>
    <w:rsid w:val="72F41282"/>
    <w:rsid w:val="733D0D32"/>
    <w:rsid w:val="73B76769"/>
    <w:rsid w:val="73D411F1"/>
    <w:rsid w:val="748C4434"/>
    <w:rsid w:val="74A356B2"/>
    <w:rsid w:val="753811DE"/>
    <w:rsid w:val="75BE67D4"/>
    <w:rsid w:val="75C2004C"/>
    <w:rsid w:val="75C759C1"/>
    <w:rsid w:val="76281B03"/>
    <w:rsid w:val="762D64F3"/>
    <w:rsid w:val="762E20AD"/>
    <w:rsid w:val="767E7EFF"/>
    <w:rsid w:val="775B4604"/>
    <w:rsid w:val="77C067C3"/>
    <w:rsid w:val="77E23494"/>
    <w:rsid w:val="77FC6F68"/>
    <w:rsid w:val="78074939"/>
    <w:rsid w:val="78911E31"/>
    <w:rsid w:val="78F9732D"/>
    <w:rsid w:val="7922350F"/>
    <w:rsid w:val="792B5470"/>
    <w:rsid w:val="7A9367CB"/>
    <w:rsid w:val="7AF22571"/>
    <w:rsid w:val="7B0720CF"/>
    <w:rsid w:val="7B4C0E47"/>
    <w:rsid w:val="7B69224B"/>
    <w:rsid w:val="7BE80F25"/>
    <w:rsid w:val="7C1C35A7"/>
    <w:rsid w:val="7C45431D"/>
    <w:rsid w:val="7D25352B"/>
    <w:rsid w:val="7D3219D5"/>
    <w:rsid w:val="7DDD0501"/>
    <w:rsid w:val="7DE51372"/>
    <w:rsid w:val="7DE5466E"/>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2023-02-17T12:52:54Z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